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1D9A5B6">
      <w:pPr>
        <w:pStyle w:val="style0"/>
        <w:spacing w:after="169" w:lineRule="auto" w:line="251"/>
        <w:ind w:left="-5" w:right="56"/>
        <w:rPr/>
      </w:pPr>
    </w:p>
    <w:p w14:paraId="09194DDA">
      <w:pPr>
        <w:pStyle w:val="style0"/>
        <w:spacing w:after="169" w:lineRule="auto" w:line="251"/>
        <w:ind w:left="-5" w:right="56"/>
        <w:rPr/>
      </w:pPr>
    </w:p>
    <w:p w14:paraId="099AD4B3">
      <w:pPr>
        <w:pStyle w:val="style0"/>
        <w:spacing w:after="169" w:lineRule="auto" w:line="251"/>
        <w:ind w:left="-5" w:right="56"/>
        <w:rPr/>
      </w:pPr>
    </w:p>
    <w:p w14:paraId="39B5B098">
      <w:pPr>
        <w:pStyle w:val="style0"/>
        <w:spacing w:after="169" w:lineRule="auto" w:line="251"/>
        <w:ind w:left="-5" w:right="56"/>
        <w:rPr>
          <w:rFonts w:cs="Malgun Gothic"/>
          <w:bCs/>
          <w:iCs/>
          <w:caps/>
          <w:smallCaps w:val="false"/>
          <w:sz w:val="72"/>
          <w:szCs w:val="72"/>
          <w:vertAlign w:val="superscript"/>
        </w:rPr>
      </w:pPr>
      <w:r>
        <w:rPr>
          <w:rFonts w:cs="Malgun Gothic"/>
          <w:b/>
          <w:bCs/>
          <w:iCs/>
          <w:caps/>
          <w:smallCaps w:val="false"/>
          <w:sz w:val="52"/>
          <w:szCs w:val="52"/>
          <w:vertAlign w:val="superscript"/>
        </w:rPr>
        <w:t xml:space="preserve">PLIEGO DE CONDICIONES QUE HA DE TENERSE EN CUENTA PARA LA CONTRATACIÓN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D</w:t>
      </w:r>
      <w:r>
        <w:rPr>
          <w:rFonts w:cs="Malgun Gothic"/>
          <w:b/>
          <w:bCs/>
          <w:iCs/>
          <w:caps/>
          <w:smallCaps w:val="false"/>
          <w:sz w:val="52"/>
          <w:szCs w:val="52"/>
          <w:vertAlign w:val="superscript"/>
        </w:rPr>
        <w:t xml:space="preserve">E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BIENES</w:t>
      </w:r>
      <w:r>
        <w:rPr>
          <w:rFonts w:cs="Malgun Gothic"/>
          <w:b/>
          <w:bCs/>
          <w:iCs/>
          <w:caps/>
          <w:smallCaps w:val="false"/>
          <w:sz w:val="52"/>
          <w:szCs w:val="52"/>
          <w:vertAlign w:val="superscript"/>
        </w:rPr>
        <w:t xml:space="preserve"> PROPIEDAD DEL ESTADO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PERTENECIENTES UPR UNIVERSIDAD DE SANCTI SPÍRITUS, JO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n-US"/>
        </w:rPr>
        <w:t xml:space="preserve">SÉ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MA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n-US"/>
        </w:rPr>
        <w:t xml:space="preserve">RTÍ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P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n-US"/>
        </w:rPr>
        <w:t xml:space="preserve">ÉREZ </w:t>
      </w:r>
      <w:r>
        <w:rPr>
          <w:rFonts w:cs="Malgun Gothic"/>
          <w:b/>
          <w:bCs/>
          <w:iCs/>
          <w:caps/>
          <w:smallCaps w:val="false"/>
          <w:sz w:val="52"/>
          <w:szCs w:val="52"/>
          <w:vertAlign w:val="superscript"/>
        </w:rPr>
        <w:t>CON DESTINO ACTIVIDAD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ES ECON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n-US"/>
        </w:rPr>
        <w:t xml:space="preserve">ÓMICAS </w:t>
      </w:r>
      <w:r>
        <w:rPr>
          <w:rFonts w:cs="Malgun Gothic" w:hint="default"/>
          <w:b/>
          <w:bCs/>
          <w:iCs/>
          <w:caps/>
          <w:smallCaps w:val="false"/>
          <w:sz w:val="52"/>
          <w:szCs w:val="52"/>
          <w:vertAlign w:val="superscript"/>
          <w:lang w:val="es-US"/>
        </w:rPr>
        <w:t>POR PARTE DE ACTORES ECONOMICOS ESTATALES Y NO ESTATALES</w:t>
      </w:r>
      <w:r>
        <w:rPr>
          <w:rFonts w:cs="Malgun Gothic"/>
          <w:b/>
          <w:bCs/>
          <w:iCs/>
          <w:caps/>
          <w:smallCaps w:val="false"/>
          <w:sz w:val="52"/>
          <w:szCs w:val="52"/>
          <w:vertAlign w:val="superscript"/>
        </w:rPr>
        <w:t>.</w:t>
      </w:r>
      <w:r>
        <w:rPr>
          <w:rFonts w:cs="Malgun Gothic"/>
          <w:b/>
          <w:bCs/>
          <w:iCs/>
          <w:caps/>
          <w:smallCaps w:val="false"/>
          <w:sz w:val="72"/>
          <w:szCs w:val="72"/>
          <w:vertAlign w:val="superscript"/>
        </w:rPr>
        <w:t xml:space="preserve"> </w:t>
      </w:r>
    </w:p>
    <w:p w14:paraId="2EEB642C">
      <w:pPr>
        <w:pStyle w:val="style0"/>
        <w:spacing w:after="169" w:lineRule="auto" w:line="251"/>
        <w:ind w:left="-5" w:right="56"/>
        <w:rPr/>
      </w:pPr>
    </w:p>
    <w:p w14:paraId="69692BD0">
      <w:pPr>
        <w:pStyle w:val="style0"/>
        <w:spacing w:after="169" w:lineRule="auto" w:line="251"/>
        <w:ind w:left="-5" w:right="56"/>
        <w:rPr/>
      </w:pPr>
    </w:p>
    <w:p w14:paraId="4547359A">
      <w:pPr>
        <w:pStyle w:val="style0"/>
        <w:spacing w:after="169" w:lineRule="auto" w:line="251"/>
        <w:ind w:left="-5" w:right="56"/>
        <w:rPr/>
      </w:pPr>
    </w:p>
    <w:p w14:paraId="0BE8A05C">
      <w:pPr>
        <w:pStyle w:val="style0"/>
        <w:spacing w:after="169" w:lineRule="auto" w:line="251"/>
        <w:ind w:left="-5" w:right="56"/>
        <w:rPr/>
      </w:pPr>
    </w:p>
    <w:p w14:paraId="2799359C">
      <w:pPr>
        <w:pStyle w:val="style0"/>
        <w:spacing w:after="169" w:lineRule="auto" w:line="251"/>
        <w:ind w:left="-5" w:right="56"/>
        <w:rPr/>
      </w:pPr>
    </w:p>
    <w:p w14:paraId="38D701EE">
      <w:pPr>
        <w:pStyle w:val="style1"/>
        <w:ind w:left="-5" w:right="56"/>
        <w:jc w:val="both"/>
        <w:rPr/>
      </w:pPr>
      <w:r>
        <w:t>1.- IDENTIFICAC</w:t>
      </w:r>
      <w:r>
        <w:rPr>
          <w:lang w:val="en-US"/>
        </w:rPr>
        <w:t xml:space="preserve">IÓN </w:t>
      </w:r>
      <w:r>
        <w:t xml:space="preserve">DE LA ENTIDAD </w:t>
      </w:r>
      <w:r>
        <w:rPr>
          <w:rFonts w:hint="default"/>
          <w:lang w:val="es-US"/>
        </w:rPr>
        <w:t>LICITANTE</w:t>
      </w:r>
      <w:r>
        <w:t xml:space="preserve"> </w:t>
      </w:r>
    </w:p>
    <w:p w14:paraId="695C1DCB">
      <w:pPr>
        <w:pStyle w:val="style0"/>
        <w:spacing w:after="0" w:lineRule="auto" w:line="259"/>
        <w:ind w:left="0" w:right="0" w:firstLine="0"/>
        <w:jc w:val="both"/>
        <w:rPr/>
      </w:pPr>
      <w:r>
        <w:t xml:space="preserve">1.1- Este Pliego es presentado por la </w:t>
      </w:r>
      <w:r>
        <w:rPr>
          <w:rFonts w:ascii="Arial" w:cs="Arial" w:hAnsi="Arial"/>
          <w:b w:val="false"/>
          <w:sz w:val="24"/>
          <w:szCs w:val="24"/>
          <w:lang w:val="es-ES"/>
        </w:rPr>
        <w:t>U</w:t>
      </w:r>
      <w:r>
        <w:rPr>
          <w:rFonts w:cs="Arial" w:hint="default"/>
          <w:b w:val="false"/>
          <w:sz w:val="24"/>
          <w:szCs w:val="24"/>
          <w:lang w:val="es-US"/>
        </w:rPr>
        <w:t>NISS</w:t>
      </w:r>
      <w:r>
        <w:rPr>
          <w:rFonts w:ascii="Arial" w:cs="Arial" w:hAnsi="Arial"/>
          <w:b w:val="false"/>
          <w:sz w:val="24"/>
          <w:szCs w:val="24"/>
          <w:lang w:val="es-ES"/>
        </w:rPr>
        <w:t xml:space="preserve">, en uso de las Facultades de organización, administración y dirección que le reconoce la legislación vigente, con el objetivo de regular y organizar </w:t>
      </w:r>
      <w:r>
        <w:rPr>
          <w:rFonts w:ascii="Arial" w:cs="Arial" w:hAnsi="Arial"/>
          <w:b w:val="false"/>
          <w:sz w:val="24"/>
          <w:szCs w:val="24"/>
          <w:lang w:val="es-US"/>
        </w:rPr>
        <w:t>el proceso de licitación que involucra espacios, locales, capacidades, medios de transporte o cualquier activo estatal cuando se pretenda con respecto a estos, establecer relaciones contractuales con actores económicos no estatales</w:t>
      </w:r>
      <w:r>
        <w:t xml:space="preserve">. </w:t>
      </w:r>
    </w:p>
    <w:p w14:paraId="484E8F08">
      <w:pPr>
        <w:pStyle w:val="style0"/>
        <w:spacing w:after="0" w:lineRule="auto" w:line="259"/>
        <w:ind w:left="0" w:right="0" w:firstLine="0"/>
        <w:jc w:val="both"/>
        <w:rPr/>
      </w:pPr>
      <w:r>
        <w:t xml:space="preserve"> </w:t>
      </w:r>
    </w:p>
    <w:p w14:paraId="0A3163D0">
      <w:pPr>
        <w:pStyle w:val="style1"/>
        <w:keepNext/>
        <w:keepLines/>
        <w:pageBreakBefore w:val="false"/>
        <w:widowControl/>
        <w:kinsoku/>
        <w:wordWrap/>
        <w:overflowPunct/>
        <w:topLinePunct w:val="false"/>
        <w:autoSpaceDE/>
        <w:autoSpaceDN/>
        <w:bidi w:val="false"/>
        <w:adjustRightInd/>
        <w:snapToGrid/>
        <w:spacing w:after="0" w:lineRule="auto" w:line="240"/>
        <w:ind w:left="0" w:right="58" w:hanging="14"/>
        <w:textAlignment w:val="auto"/>
        <w:rPr/>
      </w:pPr>
      <w:r>
        <w:t xml:space="preserve">2.- OBJETO  </w:t>
      </w:r>
    </w:p>
    <w:p w14:paraId="341E3CEA">
      <w:pPr>
        <w:pStyle w:val="style0"/>
        <w:ind w:left="-5" w:right="59"/>
        <w:jc w:val="both"/>
        <w:rPr>
          <w:b/>
        </w:rPr>
      </w:pPr>
      <w:r>
        <w:t xml:space="preserve">2.1- El objeto del presente Pliego es el </w:t>
      </w:r>
      <w:r>
        <w:rPr>
          <w:rFonts w:hint="default"/>
          <w:lang w:val="es-US"/>
        </w:rPr>
        <w:t>comodato</w:t>
      </w:r>
      <w:r>
        <w:t xml:space="preserve"> </w:t>
      </w:r>
      <w:r>
        <w:rPr>
          <w:rFonts w:hint="default"/>
          <w:lang w:val="es-US"/>
        </w:rPr>
        <w:t xml:space="preserve">de </w:t>
      </w:r>
      <w:r>
        <w:t>por licitación pública de</w:t>
      </w:r>
      <w:r>
        <w:rPr>
          <w:rFonts w:hint="default"/>
          <w:lang w:val="es-US"/>
        </w:rPr>
        <w:t xml:space="preserve"> los </w:t>
      </w:r>
      <w:r>
        <w:rPr>
          <w:lang w:val="es-US"/>
        </w:rPr>
        <w:t>ómnibus</w:t>
      </w:r>
      <w:r>
        <w:rPr>
          <w:rFonts w:hint="default"/>
          <w:lang w:val="es-US"/>
        </w:rPr>
        <w:t xml:space="preserve"> Girón VI, matrícula 097729, número de inventario 292105, número de motor 38OF30735, número de chasis 8900843</w:t>
      </w:r>
      <w:r>
        <w:t xml:space="preserve">, </w:t>
      </w:r>
      <w:r>
        <w:rPr>
          <w:rFonts w:hint="default"/>
          <w:lang w:val="es-US"/>
        </w:rPr>
        <w:t>con un valor de 9634.34 cup; y Girón VI, matrícula BO11725, número de inventario 18652P, número de motor AO1334, número de chasis 15428378</w:t>
      </w:r>
      <w:r>
        <w:t xml:space="preserve">, </w:t>
      </w:r>
      <w:r>
        <w:rPr>
          <w:rFonts w:hint="default"/>
          <w:lang w:val="es-US"/>
        </w:rPr>
        <w:t>con un valor de 12322.97 cup</w:t>
      </w:r>
      <w:r>
        <w:t xml:space="preserve">; </w:t>
      </w:r>
      <w:r>
        <w:rPr>
          <w:b/>
        </w:rPr>
        <w:t xml:space="preserve">con destino a la </w:t>
      </w:r>
      <w:r>
        <w:rPr>
          <w:b/>
          <w:lang w:val="es-US"/>
        </w:rPr>
        <w:t>transportación</w:t>
      </w:r>
      <w:r>
        <w:rPr>
          <w:rFonts w:hint="default"/>
          <w:b/>
          <w:lang w:val="es-US"/>
        </w:rPr>
        <w:t xml:space="preserve"> de los trabajadores de la UNISS y el suministro de combustible a los mismos</w:t>
      </w:r>
      <w:r>
        <w:rPr>
          <w:b/>
        </w:rPr>
        <w:t>.</w:t>
      </w:r>
    </w:p>
    <w:p w14:paraId="1E93FC6E">
      <w:pPr>
        <w:pStyle w:val="style0"/>
        <w:ind w:left="-5" w:right="59"/>
        <w:jc w:val="both"/>
        <w:rPr>
          <w:b/>
        </w:rPr>
      </w:pPr>
    </w:p>
    <w:p w14:paraId="70054F2D">
      <w:pPr>
        <w:pStyle w:val="style0"/>
        <w:spacing w:after="112" w:lineRule="auto" w:line="259"/>
        <w:ind w:left="0" w:right="0" w:firstLine="0"/>
        <w:jc w:val="both"/>
        <w:rPr/>
      </w:pPr>
      <w:r>
        <w:t>2.2- Figura</w:t>
      </w:r>
      <w:r>
        <w:rPr>
          <w:rFonts w:hint="default"/>
          <w:lang w:val="es-US"/>
        </w:rPr>
        <w:t>n</w:t>
      </w:r>
      <w:r>
        <w:t xml:space="preserve"> en el registro </w:t>
      </w:r>
      <w:r>
        <w:rPr>
          <w:lang w:val="es-US"/>
        </w:rPr>
        <w:t>correspondiente</w:t>
      </w:r>
      <w:r>
        <w:t xml:space="preserve"> como </w:t>
      </w:r>
      <w:r>
        <w:rPr>
          <w:rFonts w:hint="default"/>
          <w:lang w:val="es-US"/>
        </w:rPr>
        <w:t>bienes</w:t>
      </w:r>
      <w:r>
        <w:t xml:space="preserve"> estatal</w:t>
      </w:r>
      <w:r>
        <w:rPr>
          <w:rFonts w:hint="default"/>
          <w:lang w:val="es-US"/>
        </w:rPr>
        <w:t>es</w:t>
      </w:r>
      <w:r>
        <w:t xml:space="preserve"> en uso y </w:t>
      </w:r>
      <w:r>
        <w:rPr>
          <w:rFonts w:hint="default"/>
          <w:lang w:val="es-US"/>
        </w:rPr>
        <w:t xml:space="preserve">propiedad de la </w:t>
      </w:r>
      <w:r>
        <w:t xml:space="preserve"> </w:t>
      </w:r>
      <w:r>
        <w:rPr>
          <w:rFonts w:ascii="Arial" w:cs="Arial" w:hAnsi="Arial"/>
          <w:b w:val="false"/>
          <w:sz w:val="24"/>
          <w:szCs w:val="24"/>
          <w:lang w:val="es-ES"/>
        </w:rPr>
        <w:t>U</w:t>
      </w:r>
      <w:r>
        <w:rPr>
          <w:rFonts w:cs="Arial" w:hint="default"/>
          <w:b w:val="false"/>
          <w:sz w:val="24"/>
          <w:szCs w:val="24"/>
          <w:lang w:val="es-US"/>
        </w:rPr>
        <w:t>NISS</w:t>
      </w:r>
      <w:r>
        <w:t xml:space="preserve">. </w:t>
      </w:r>
    </w:p>
    <w:p w14:paraId="7D2F42CD">
      <w:pPr>
        <w:pStyle w:val="style0"/>
        <w:ind w:left="-5" w:right="59"/>
        <w:jc w:val="both"/>
        <w:rPr/>
      </w:pPr>
      <w:r>
        <w:t xml:space="preserve">2.3- El estado </w:t>
      </w:r>
      <w:r>
        <w:rPr>
          <w:rFonts w:hint="default"/>
          <w:lang w:val="es-US"/>
        </w:rPr>
        <w:t>técnico de los mismos</w:t>
      </w:r>
      <w:r>
        <w:t xml:space="preserve"> es calificado de </w:t>
      </w:r>
      <w:r>
        <w:rPr>
          <w:rFonts w:hint="default"/>
          <w:lang w:val="es-US"/>
        </w:rPr>
        <w:t>Bueno</w:t>
      </w:r>
      <w:r>
        <w:t xml:space="preserve">. </w:t>
      </w:r>
    </w:p>
    <w:p w14:paraId="1CA81E01">
      <w:pPr>
        <w:pStyle w:val="style0"/>
        <w:ind w:left="0" w:leftChars="0" w:right="59" w:firstLine="0" w:firstLineChars="0"/>
        <w:jc w:val="both"/>
        <w:rPr/>
      </w:pPr>
    </w:p>
    <w:p w14:paraId="710116F3">
      <w:pPr>
        <w:pStyle w:val="style1"/>
        <w:ind w:left="-5" w:right="56"/>
        <w:rPr/>
      </w:pPr>
      <w:r>
        <w:t xml:space="preserve">3.- APTITUD PARA CONTRATAR </w:t>
      </w:r>
    </w:p>
    <w:p w14:paraId="68101A13">
      <w:pPr>
        <w:pStyle w:val="style0"/>
        <w:ind w:left="-5" w:right="59"/>
        <w:rPr/>
      </w:pPr>
      <w:r>
        <w:t xml:space="preserve">3.1- Podrá presentarse cualquier persona natural o jurídica cubana, de las definidas como formas de gestión no estatal y estatal, residente o radicada en territorio nacional, preferiblemente en el municipio </w:t>
      </w:r>
      <w:r>
        <w:rPr>
          <w:rFonts w:hint="default"/>
          <w:lang w:val="es-US"/>
        </w:rPr>
        <w:t>de Sancti Spíritus</w:t>
      </w:r>
      <w:r>
        <w:t xml:space="preserve">, provincia </w:t>
      </w:r>
      <w:r>
        <w:rPr>
          <w:rFonts w:hint="default"/>
          <w:lang w:val="es-US"/>
        </w:rPr>
        <w:t>Sancti Spíritus</w:t>
      </w:r>
      <w:r>
        <w:t xml:space="preserve">, con capacidad de obligarse en relación al objeto previsto en el presente Pliego y de conformidad con las leyes vigentes en Cuba. </w:t>
      </w:r>
    </w:p>
    <w:p w14:paraId="1214E18B">
      <w:pPr>
        <w:pStyle w:val="style0"/>
        <w:spacing w:after="60" w:lineRule="auto" w:line="259"/>
        <w:ind w:left="0" w:right="0" w:firstLine="0"/>
        <w:rPr/>
      </w:pPr>
      <w:r>
        <w:rPr>
          <w:sz w:val="16"/>
        </w:rPr>
        <w:t xml:space="preserve"> </w:t>
      </w:r>
    </w:p>
    <w:p w14:paraId="1FED63B0">
      <w:pPr>
        <w:pStyle w:val="style0"/>
        <w:ind w:left="-5" w:right="59"/>
        <w:rPr/>
      </w:pPr>
      <w:r>
        <w:t xml:space="preserve">3.2- Los participantes además de acreditar su capacidad legal para contratar mediante documentos de creación, constitución, identidad y/o licencias, según sea el caso; presentarán documento expedido por una autoridad competente, o en su lugar, una declaración responsable de no clasificar en las siguientes prohibiciones para contratar: </w:t>
      </w:r>
    </w:p>
    <w:p w14:paraId="3BFA124D">
      <w:pPr>
        <w:pStyle w:val="style0"/>
        <w:spacing w:after="60" w:lineRule="auto" w:line="259"/>
        <w:ind w:left="0" w:right="0" w:firstLine="0"/>
        <w:jc w:val="left"/>
        <w:rPr/>
      </w:pPr>
      <w:r>
        <w:rPr>
          <w:sz w:val="16"/>
        </w:rPr>
        <w:t xml:space="preserve"> </w:t>
      </w:r>
    </w:p>
    <w:p w14:paraId="7FDED81C">
      <w:pPr>
        <w:pStyle w:val="style0"/>
        <w:ind w:left="-5" w:right="59"/>
        <w:rPr/>
      </w:pPr>
      <w:r>
        <w:t xml:space="preserve">3.2.1- Haber cometido fraude o engaño en proceso de licitación anterior. </w:t>
      </w:r>
    </w:p>
    <w:p w14:paraId="4DA1D931">
      <w:pPr>
        <w:pStyle w:val="style0"/>
        <w:spacing w:after="60" w:lineRule="auto" w:line="259"/>
        <w:ind w:left="427" w:right="0" w:firstLine="0"/>
        <w:jc w:val="left"/>
        <w:rPr/>
      </w:pPr>
      <w:r>
        <w:rPr>
          <w:sz w:val="16"/>
        </w:rPr>
        <w:t xml:space="preserve"> </w:t>
      </w:r>
    </w:p>
    <w:p w14:paraId="24E7C833">
      <w:pPr>
        <w:pStyle w:val="style0"/>
        <w:ind w:left="-5" w:right="59"/>
        <w:rPr/>
      </w:pPr>
      <w:r>
        <w:t xml:space="preserve">3.2.2- Haber sido sancionado por haber cometido delitos contra la economía nacional o los derechos patrimoniales, en el caso de no estar rehabilitado y reinsertado en la sociedad; o que expresamente en sentencia firme, como sanción accesoria, posea una prohibición de ejercer una actividad específica por cuenta propia u otra forma de actividad económica, siempre que los antecedentes penales no hayan sido cancelados. </w:t>
      </w:r>
    </w:p>
    <w:p w14:paraId="027CE8D7">
      <w:pPr>
        <w:pStyle w:val="style0"/>
        <w:spacing w:after="60" w:lineRule="auto" w:line="259"/>
        <w:ind w:left="720" w:right="0" w:firstLine="0"/>
        <w:jc w:val="left"/>
        <w:rPr/>
      </w:pPr>
      <w:r>
        <w:rPr>
          <w:sz w:val="16"/>
        </w:rPr>
        <w:t xml:space="preserve"> </w:t>
      </w:r>
    </w:p>
    <w:p w14:paraId="57C1982A">
      <w:pPr>
        <w:pStyle w:val="style1"/>
        <w:ind w:left="-5" w:right="56"/>
        <w:rPr/>
      </w:pPr>
      <w:r>
        <w:t xml:space="preserve">4.- MARCO JURÍDICO </w:t>
      </w:r>
    </w:p>
    <w:p w14:paraId="65D7DB7D">
      <w:pPr>
        <w:pStyle w:val="style0"/>
        <w:spacing w:after="62" w:lineRule="auto" w:line="259"/>
        <w:ind w:left="0" w:right="0" w:firstLine="0"/>
        <w:jc w:val="both"/>
        <w:rPr/>
      </w:pPr>
      <w:r>
        <w:t xml:space="preserve">4.1- El presente Pliego se rige por los principios generales contenidos en </w:t>
      </w:r>
      <w:r>
        <w:rPr>
          <w:rFonts w:hint="default"/>
          <w:lang w:val="es-US"/>
        </w:rPr>
        <w:t>la</w:t>
      </w:r>
      <w:r>
        <w:t xml:space="preserve"> </w:t>
      </w:r>
      <w:r>
        <w:rPr>
          <w:rFonts w:hint="default"/>
        </w:rPr>
        <w:t>Resolución 149/2024 “Aspectos de la contratación económica</w:t>
      </w:r>
      <w:r>
        <w:rPr>
          <w:rFonts w:hint="default"/>
          <w:lang w:val="es-US"/>
        </w:rPr>
        <w:t xml:space="preserve"> </w:t>
      </w:r>
      <w:r>
        <w:rPr>
          <w:rFonts w:hint="default"/>
        </w:rPr>
        <w:t>y procedimiento de licitación en las</w:t>
      </w:r>
      <w:r>
        <w:rPr>
          <w:rFonts w:hint="default"/>
          <w:lang w:val="es-US"/>
        </w:rPr>
        <w:t xml:space="preserve"> </w:t>
      </w:r>
      <w:r>
        <w:rPr>
          <w:rFonts w:hint="default"/>
        </w:rPr>
        <w:t>relaciones de entidades estatales</w:t>
      </w:r>
      <w:r>
        <w:rPr>
          <w:rFonts w:hint="default"/>
          <w:lang w:val="es-US"/>
        </w:rPr>
        <w:t xml:space="preserve"> </w:t>
      </w:r>
      <w:r>
        <w:rPr>
          <w:rFonts w:hint="default"/>
        </w:rPr>
        <w:t>con actores económicos no estatales”</w:t>
      </w:r>
      <w:r>
        <w:rPr>
          <w:rFonts w:hint="default"/>
          <w:lang w:val="es-US"/>
        </w:rPr>
        <w:t xml:space="preserve"> del Ministerio de Economía y Planificación</w:t>
      </w:r>
      <w:r>
        <w:t xml:space="preserve">. </w:t>
      </w:r>
    </w:p>
    <w:p w14:paraId="07D4EF15">
      <w:pPr>
        <w:pStyle w:val="style0"/>
        <w:spacing w:after="60" w:lineRule="auto" w:line="259"/>
        <w:ind w:left="0" w:right="0" w:firstLine="0"/>
        <w:jc w:val="left"/>
        <w:rPr/>
      </w:pPr>
      <w:r>
        <w:rPr>
          <w:sz w:val="16"/>
        </w:rPr>
        <w:t xml:space="preserve"> </w:t>
      </w:r>
    </w:p>
    <w:p w14:paraId="678921C0">
      <w:pPr>
        <w:pStyle w:val="style0"/>
        <w:ind w:left="-5" w:right="59"/>
        <w:rPr/>
      </w:pPr>
      <w:r>
        <w:t xml:space="preserve">4.2- La preparación, adjudicación, efectos y extinción del contrato se rige por la ley sustantiva y las disposiciones jurídicas vigentes en la República de Cuba, en particular por el Decreto Ley No. 304, de fecha 1 de noviembre de 2012; el Decreto 310, de fecha 17 de diciembre de 2012; la Ley No. 59, de fecha 16 de julio de 1987 denominada “Código Civil”; y </w:t>
      </w:r>
      <w:r>
        <w:rPr>
          <w:rFonts w:hint="default"/>
          <w:lang w:val="es-US"/>
        </w:rPr>
        <w:t>otras disposiciones jurídicas de aplicación</w:t>
      </w:r>
      <w:r>
        <w:t xml:space="preserve">. </w:t>
      </w:r>
    </w:p>
    <w:p w14:paraId="63CD075E">
      <w:pPr>
        <w:pStyle w:val="style0"/>
        <w:spacing w:after="60" w:lineRule="auto" w:line="259"/>
        <w:ind w:left="0" w:right="0" w:firstLine="0"/>
        <w:jc w:val="left"/>
        <w:rPr/>
      </w:pPr>
      <w:r>
        <w:rPr>
          <w:sz w:val="16"/>
        </w:rPr>
        <w:t xml:space="preserve"> </w:t>
      </w:r>
    </w:p>
    <w:p w14:paraId="42007945">
      <w:pPr>
        <w:pStyle w:val="style0"/>
        <w:ind w:left="-5" w:right="59"/>
        <w:rPr/>
      </w:pPr>
      <w:r>
        <w:t xml:space="preserve">4.3- La adjudicación se realiza mediante Licitación Pública, utilizándose los criterios que se relacionan en la cláusula 7 del presente Pliego. </w:t>
      </w:r>
    </w:p>
    <w:p w14:paraId="23BA0E51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7E78EFDF">
      <w:pPr>
        <w:pStyle w:val="style1"/>
        <w:ind w:left="-5" w:right="56"/>
        <w:rPr/>
      </w:pPr>
      <w:r>
        <w:t xml:space="preserve">5.- CONDICIONES ESPECÍFICAS DEL </w:t>
      </w:r>
      <w:r>
        <w:rPr>
          <w:rFonts w:hint="default"/>
          <w:lang w:val="es-US"/>
        </w:rPr>
        <w:t>COMODATO</w:t>
      </w:r>
      <w:r>
        <w:t xml:space="preserve"> </w:t>
      </w:r>
    </w:p>
    <w:p w14:paraId="59CADBAC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54A79CFB">
      <w:pPr>
        <w:pStyle w:val="style0"/>
        <w:ind w:left="-5" w:right="59"/>
        <w:rPr/>
      </w:pPr>
      <w:r>
        <w:t xml:space="preserve">5.1-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usará el bien </w:t>
      </w:r>
      <w:r>
        <w:rPr>
          <w:rFonts w:hint="default"/>
          <w:lang w:val="es-US"/>
        </w:rPr>
        <w:t>entregado</w:t>
      </w:r>
      <w:r>
        <w:t xml:space="preserve"> con la diligencia debida, destinándolo únicamente al uso pactado en el Contrato de </w:t>
      </w:r>
      <w:r>
        <w:rPr>
          <w:lang w:val="es-US"/>
        </w:rPr>
        <w:t>Comodato</w:t>
      </w:r>
      <w:r>
        <w:t xml:space="preserve">, sin provocar daños a terceros y cumpliendo las normas de conducta social y generales establecidas para los inmuebles que son propiedad del Estado. </w:t>
      </w:r>
    </w:p>
    <w:p w14:paraId="564D906C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0EE8E9E1">
      <w:pPr>
        <w:pStyle w:val="style0"/>
        <w:ind w:left="-5" w:right="59"/>
        <w:rPr/>
      </w:pPr>
      <w:r>
        <w:t xml:space="preserve">5.2-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no podrá bajo ningún pretexto, subarrendar ni ceder por título alguno, ni en todo ni en parte, la posesión, el uso y disfrute del </w:t>
      </w:r>
      <w:r>
        <w:rPr>
          <w:rFonts w:hint="default"/>
          <w:lang w:val="es-US"/>
        </w:rPr>
        <w:t>local</w:t>
      </w:r>
      <w:r>
        <w:t xml:space="preserve"> </w:t>
      </w:r>
      <w:r>
        <w:rPr>
          <w:rFonts w:hint="default"/>
          <w:lang w:val="es-US"/>
        </w:rPr>
        <w:t>dado</w:t>
      </w:r>
      <w:r>
        <w:t xml:space="preserve">. </w:t>
      </w:r>
    </w:p>
    <w:p w14:paraId="1A65A24E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523C7290">
      <w:pPr>
        <w:pStyle w:val="style0"/>
        <w:ind w:left="-5" w:right="59"/>
        <w:rPr/>
      </w:pPr>
      <w:r>
        <w:t xml:space="preserve">5.3-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que resulte seleccionado, asumirá la tramitación de todos los permisos y licencias establecidos en la legislación vigente, incluidos los específicos para </w:t>
      </w:r>
      <w:r>
        <w:rPr>
          <w:rFonts w:hint="default"/>
          <w:lang w:val="es-US"/>
        </w:rPr>
        <w:t>su actividad principal y secundarias</w:t>
      </w:r>
      <w:r>
        <w:t xml:space="preserve">, acreditándose para ello con el Contrato de </w:t>
      </w:r>
      <w:r>
        <w:rPr>
          <w:rFonts w:hint="default"/>
          <w:lang w:val="es-US"/>
        </w:rPr>
        <w:t>Comodato</w:t>
      </w:r>
      <w:r>
        <w:t xml:space="preserve"> suscrito con la </w:t>
      </w:r>
      <w:r>
        <w:rPr>
          <w:rFonts w:hint="default"/>
          <w:lang w:val="es-US"/>
        </w:rPr>
        <w:t>entidad</w:t>
      </w:r>
      <w:r>
        <w:t xml:space="preserve">. </w:t>
      </w:r>
    </w:p>
    <w:p w14:paraId="016102CA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09A6A209">
      <w:pPr>
        <w:pStyle w:val="style0"/>
        <w:ind w:left="-5" w:right="59"/>
        <w:rPr/>
      </w:pPr>
      <w:r>
        <w:t xml:space="preserve">5.4- La no obtención de los permisos o licencias referidos en el apartado anterior, dará lugar al retiro de la adjudicación del </w:t>
      </w:r>
      <w:r>
        <w:rPr>
          <w:rFonts w:hint="default"/>
          <w:lang w:val="es-US"/>
        </w:rPr>
        <w:t>local</w:t>
      </w:r>
      <w:r>
        <w:t xml:space="preserve">, por lo que no se podrá efectuar reclamación alguna por posibles perjuicios ocasionados. </w:t>
      </w:r>
    </w:p>
    <w:p w14:paraId="33159E08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550AA86">
      <w:pPr>
        <w:pStyle w:val="style0"/>
        <w:spacing w:after="4" w:lineRule="auto" w:line="251"/>
        <w:ind w:left="-5" w:right="56"/>
        <w:rPr/>
      </w:pPr>
      <w:r>
        <w:t>5.5-</w:t>
      </w:r>
      <w:r>
        <w:rPr>
          <w:b/>
        </w:rPr>
        <w:t xml:space="preserve"> </w:t>
      </w:r>
      <w:r>
        <w:t>Una vez suscrito el contrato correrá a cargo de</w:t>
      </w:r>
      <w:r>
        <w:rPr>
          <w:rFonts w:hint="default"/>
          <w:lang w:val="es-US"/>
        </w:rPr>
        <w:t>l</w:t>
      </w:r>
      <w:r>
        <w:t xml:space="preserve"> </w:t>
      </w:r>
      <w:r>
        <w:rPr>
          <w:rFonts w:hint="default"/>
          <w:b/>
          <w:bCs/>
          <w:lang w:val="es-US"/>
        </w:rPr>
        <w:t>EL</w:t>
      </w:r>
      <w:r>
        <w:rPr>
          <w:rFonts w:hint="default"/>
          <w:lang w:val="es-US"/>
        </w:rPr>
        <w:t xml:space="preserve">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la adecuación de</w:t>
      </w:r>
      <w:r>
        <w:rPr>
          <w:rFonts w:hint="default"/>
          <w:lang w:val="es-US"/>
        </w:rPr>
        <w:t xml:space="preserve"> los bienes </w:t>
      </w:r>
      <w:r>
        <w:t>al proyecto presentado, creando las condiciones que le permitan la obtención de las licencias necesarias para la prestación de los servicios por los cuales ganó la licitación</w:t>
      </w:r>
      <w:r>
        <w:rPr>
          <w:rFonts w:hint="default"/>
          <w:lang w:val="es-US"/>
        </w:rPr>
        <w:t xml:space="preserve"> en un plazo máximo de 10 días naturales posteriores a la firma del contrato</w:t>
      </w:r>
      <w:r>
        <w:t xml:space="preserve">.   </w:t>
      </w:r>
    </w:p>
    <w:p w14:paraId="59CB6934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339E993F">
      <w:pPr>
        <w:pStyle w:val="style0"/>
        <w:ind w:right="59"/>
        <w:rPr/>
      </w:pPr>
      <w:r>
        <w:t>5.6- Una vez suscrito el contrato correrán a cargo de</w:t>
      </w:r>
      <w:r>
        <w:rPr>
          <w:rFonts w:hint="default"/>
          <w:lang w:val="es-US"/>
        </w:rPr>
        <w:t xml:space="preserve"> </w:t>
      </w:r>
      <w:r>
        <w:rPr>
          <w:rFonts w:hint="default"/>
          <w:b/>
          <w:bCs/>
          <w:lang w:val="es-US"/>
        </w:rPr>
        <w:t>EL</w:t>
      </w:r>
      <w:r>
        <w:rPr>
          <w:rFonts w:hint="default"/>
          <w:lang w:val="es-US"/>
        </w:rPr>
        <w:t xml:space="preserve"> </w:t>
      </w:r>
      <w:r>
        <w:t xml:space="preserve">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rPr>
          <w:rFonts w:hint="default"/>
          <w:b/>
          <w:lang w:val="es-US"/>
        </w:rPr>
        <w:t xml:space="preserve"> </w:t>
      </w:r>
      <w:r>
        <w:t xml:space="preserve">los gastos de comunicaciones, </w:t>
      </w:r>
      <w:r>
        <w:rPr>
          <w:rFonts w:hint="default"/>
          <w:lang w:val="es-US"/>
        </w:rPr>
        <w:t>limpieza, suministro de combustible y lubricantes</w:t>
      </w:r>
      <w:r>
        <w:t>, mantenimientos y otros servicios, así como las contribuciones, impuestos y cualquier otro gravamen que recaiga sobre la utilización de</w:t>
      </w:r>
      <w:r>
        <w:rPr>
          <w:rFonts w:hint="default"/>
          <w:lang w:val="es-US"/>
        </w:rPr>
        <w:t xml:space="preserve"> los</w:t>
      </w:r>
      <w:r>
        <w:t xml:space="preserve"> </w:t>
      </w:r>
      <w:r>
        <w:rPr>
          <w:rFonts w:hint="default"/>
          <w:lang w:val="es-US"/>
        </w:rPr>
        <w:t>bienes</w:t>
      </w:r>
      <w:r>
        <w:t xml:space="preserve"> objeto del </w:t>
      </w:r>
      <w:r>
        <w:rPr>
          <w:rFonts w:hint="default"/>
          <w:lang w:val="es-US"/>
        </w:rPr>
        <w:t>contrato</w:t>
      </w:r>
      <w:r>
        <w:t>.</w:t>
      </w:r>
    </w:p>
    <w:p w14:paraId="53F9EFF7">
      <w:pPr>
        <w:pStyle w:val="style0"/>
        <w:ind w:right="59"/>
        <w:rPr/>
      </w:pPr>
    </w:p>
    <w:p w14:paraId="7D64705B">
      <w:pPr>
        <w:pStyle w:val="style179"/>
        <w:ind w:left="10" w:right="59" w:firstLine="0"/>
        <w:rPr/>
      </w:pPr>
      <w:r>
        <w:t xml:space="preserve">5.7-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estará obligado al cumplimiento del contrato con estricta sujeción a la oferta presentada por él mismo y a lo dispuesto en el presente Pliego; respetando las normas y regulaciones vigentes en materia de la actividad que desempeña en el bien </w:t>
      </w:r>
      <w:r>
        <w:rPr>
          <w:rFonts w:hint="default"/>
          <w:lang w:val="es-US"/>
        </w:rPr>
        <w:t>dado</w:t>
      </w:r>
      <w:r>
        <w:t xml:space="preserve">. </w:t>
      </w:r>
    </w:p>
    <w:p w14:paraId="57944A35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4234CD0F">
      <w:pPr>
        <w:pStyle w:val="style0"/>
        <w:ind w:right="59"/>
        <w:rPr/>
      </w:pPr>
      <w:r>
        <w:t>5.8-</w:t>
      </w:r>
      <w:r>
        <w:rPr>
          <w:b/>
        </w:rPr>
        <w:t xml:space="preserve"> EL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estará obligado a cumplir estrictamente las regulaciones establecidas en el país para la contratación del personal de servicio, administrativo y de cualquier tipo que emplee en el </w:t>
      </w:r>
      <w:r>
        <w:rPr>
          <w:lang w:val="es-US"/>
        </w:rPr>
        <w:t>servicio</w:t>
      </w:r>
      <w:r>
        <w:rPr>
          <w:rFonts w:hint="default"/>
          <w:lang w:val="es-US"/>
        </w:rPr>
        <w:t xml:space="preserve"> pactado</w:t>
      </w:r>
      <w:r>
        <w:t xml:space="preserve">. Se incluyen las establecidas en materia de seguridad e higiene del trabajo, quedando exento </w:t>
      </w:r>
      <w:r>
        <w:rPr>
          <w:rFonts w:hint="default"/>
          <w:lang w:val="es-US"/>
        </w:rPr>
        <w:t>la UNISS</w:t>
      </w:r>
      <w:r>
        <w:t xml:space="preserve">, de cualquier responsabilidad por el incumplimiento de estas disposiciones u otras de carácter laboral, provocadas por el arrendatario.  </w:t>
      </w:r>
    </w:p>
    <w:p w14:paraId="3E9925E0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67E7858E">
      <w:pPr>
        <w:pStyle w:val="style0"/>
        <w:ind w:right="59"/>
        <w:rPr/>
      </w:pPr>
      <w:r>
        <w:t xml:space="preserve">5.9-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COMODANTE</w:t>
      </w:r>
      <w:r>
        <w:t xml:space="preserve"> será responsable de la custodia de</w:t>
      </w:r>
      <w:r>
        <w:rPr>
          <w:rFonts w:hint="default"/>
          <w:lang w:val="es-US"/>
        </w:rPr>
        <w:t xml:space="preserve"> los bienes</w:t>
      </w:r>
      <w:r>
        <w:t xml:space="preserve"> a partir de la formalización del contrato, y entrega del mismo mediante la firma del acta correspondiente, en consecuencia, se responsabilizará con los daños o perjuicios efectuados por terceros a </w:t>
      </w:r>
      <w:r>
        <w:rPr>
          <w:b/>
        </w:rPr>
        <w:t>EL</w:t>
      </w:r>
      <w:r>
        <w:t xml:space="preserve"> </w:t>
      </w:r>
      <w:r>
        <w:rPr>
          <w:rFonts w:hint="default"/>
          <w:b/>
          <w:lang w:val="es-US"/>
        </w:rPr>
        <w:t>COMODATA</w:t>
      </w:r>
      <w:r>
        <w:rPr>
          <w:b/>
        </w:rPr>
        <w:t>RIO</w:t>
      </w:r>
      <w:r>
        <w:t xml:space="preserve"> o a sus pertenencias o cualesquiera daños físicos, de pérdida o de propiedad que le fueran ocasionados</w:t>
      </w:r>
      <w:r>
        <w:rPr>
          <w:rFonts w:hint="default"/>
          <w:lang w:val="es-US"/>
        </w:rPr>
        <w:t xml:space="preserve">, siempre que ocurran en los horarios en que los bienes dados no se encuentre ocupado por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COMODANTE</w:t>
      </w:r>
      <w:r>
        <w:t xml:space="preserve">.  </w:t>
      </w:r>
    </w:p>
    <w:p w14:paraId="68F5246A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2FFEC84C">
      <w:pPr>
        <w:pStyle w:val="style0"/>
        <w:ind w:right="59"/>
        <w:rPr/>
      </w:pPr>
      <w:r>
        <w:t xml:space="preserve">5.10-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COMODANTE</w:t>
      </w:r>
      <w:r>
        <w:t xml:space="preserve"> cumplirá con las indicaciones que se emitan durante la temporada ciclónica, para la protección y conservación de personas, inmuebles y bienes muebles; así como con las normas cubanas de protección contra incendios</w:t>
      </w:r>
      <w:r>
        <w:rPr>
          <w:rFonts w:hint="default"/>
          <w:lang w:val="es-US"/>
        </w:rPr>
        <w:t xml:space="preserve"> y desatres naturales</w:t>
      </w:r>
      <w:r>
        <w:t xml:space="preserve">. </w:t>
      </w:r>
    </w:p>
    <w:p w14:paraId="45694314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181C21B3">
      <w:pPr>
        <w:pStyle w:val="style0"/>
        <w:ind w:right="59"/>
        <w:rPr/>
      </w:pPr>
      <w:r>
        <w:t xml:space="preserve">5.11- </w:t>
      </w:r>
      <w:r>
        <w:rPr>
          <w:rFonts w:hint="default"/>
          <w:lang w:val="es-US"/>
        </w:rPr>
        <w:t>Los ómnibus</w:t>
      </w:r>
      <w:r>
        <w:t xml:space="preserve"> llevará</w:t>
      </w:r>
      <w:r>
        <w:rPr>
          <w:rFonts w:hint="default"/>
          <w:lang w:val="es-US"/>
        </w:rPr>
        <w:t>n</w:t>
      </w:r>
      <w:r>
        <w:t xml:space="preserve"> en su f</w:t>
      </w:r>
      <w:r>
        <w:rPr>
          <w:rFonts w:hint="default"/>
          <w:lang w:val="es-US"/>
        </w:rPr>
        <w:t>rente</w:t>
      </w:r>
      <w:r>
        <w:t xml:space="preserve"> el cartel establecido de </w:t>
      </w:r>
      <w:r>
        <w:rPr>
          <w:lang w:val="es-US"/>
        </w:rPr>
        <w:t>Ómnibus</w:t>
      </w:r>
      <w:r>
        <w:rPr>
          <w:b/>
          <w:bCs/>
        </w:rPr>
        <w:t xml:space="preserve"> </w:t>
      </w:r>
      <w:r>
        <w:rPr>
          <w:rFonts w:hint="default"/>
          <w:b/>
          <w:bCs/>
          <w:lang w:val="es-US"/>
        </w:rPr>
        <w:t>En</w:t>
      </w:r>
      <w:r>
        <w:rPr>
          <w:rFonts w:hint="default"/>
          <w:b/>
          <w:lang w:val="es-US"/>
        </w:rPr>
        <w:t xml:space="preserve"> Comodato</w:t>
      </w:r>
      <w:r>
        <w:t xml:space="preserve">. </w:t>
      </w:r>
    </w:p>
    <w:p w14:paraId="70967B1E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40C63658">
      <w:pPr>
        <w:pStyle w:val="style0"/>
        <w:ind w:right="59"/>
        <w:rPr/>
      </w:pPr>
      <w:r>
        <w:t xml:space="preserve">5.12- La letra contractual establecerá las obligaciones de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COMODANTE</w:t>
      </w:r>
      <w:r>
        <w:t xml:space="preserve"> y </w:t>
      </w:r>
      <w:r>
        <w:rPr>
          <w:b/>
        </w:rPr>
        <w:t xml:space="preserve">EL </w:t>
      </w:r>
      <w:r>
        <w:rPr>
          <w:rFonts w:hint="default"/>
          <w:b/>
          <w:lang w:val="es-US"/>
        </w:rPr>
        <w:t>COMODATARIO</w:t>
      </w:r>
      <w:r>
        <w:t xml:space="preserve">, que deberán respetarse, resultando su incumplimiento causa de resolución del contrato. </w:t>
      </w:r>
    </w:p>
    <w:p w14:paraId="3E105820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778F33D0">
      <w:pPr>
        <w:pStyle w:val="style0"/>
        <w:ind w:right="59"/>
        <w:rPr/>
      </w:pPr>
      <w:r>
        <w:t xml:space="preserve">5.13- El contrato de </w:t>
      </w:r>
      <w:r>
        <w:rPr>
          <w:rFonts w:hint="default"/>
          <w:lang w:val="es-US"/>
        </w:rPr>
        <w:t>comodato</w:t>
      </w:r>
      <w:r>
        <w:t xml:space="preserve"> se pacta por un período de hasta </w:t>
      </w:r>
      <w:r>
        <w:rPr>
          <w:rFonts w:hint="default"/>
          <w:lang w:val="es-US"/>
        </w:rPr>
        <w:t>5</w:t>
      </w:r>
      <w:r>
        <w:t xml:space="preserve"> años, pudiéndose prorrogar de mutuo acuerdo por las partes. Finalizado el plazo inicial, el interesado podrá optar por la continuación del contrato o la finalización del mismo, con el consiguiente abandono del local, mediante solicitud escrita. </w:t>
      </w:r>
    </w:p>
    <w:p w14:paraId="0AF2BBEA">
      <w:pPr>
        <w:pStyle w:val="style0"/>
        <w:spacing w:after="21" w:lineRule="auto" w:line="259"/>
        <w:ind w:left="0" w:right="0" w:firstLine="0"/>
        <w:jc w:val="left"/>
        <w:rPr/>
      </w:pPr>
      <w:r>
        <w:rPr>
          <w:b/>
          <w:sz w:val="20"/>
        </w:rPr>
        <w:t xml:space="preserve"> </w:t>
      </w:r>
    </w:p>
    <w:p w14:paraId="2315C05F">
      <w:pPr>
        <w:pStyle w:val="style1"/>
        <w:ind w:left="-5" w:right="56"/>
        <w:rPr/>
      </w:pPr>
      <w:r>
        <w:t xml:space="preserve">6.- RENTA PARA EL ARRENDAMIENTO Y SU REVISIÓN </w:t>
      </w:r>
    </w:p>
    <w:p w14:paraId="1AC42BB8">
      <w:pPr>
        <w:pStyle w:val="style0"/>
        <w:spacing w:after="21" w:lineRule="auto" w:line="259"/>
        <w:ind w:left="0" w:right="0" w:firstLine="0"/>
        <w:jc w:val="both"/>
        <w:rPr/>
      </w:pPr>
      <w:r>
        <w:rPr>
          <w:b/>
          <w:sz w:val="20"/>
        </w:rPr>
        <w:t xml:space="preserve"> </w:t>
      </w:r>
      <w:r>
        <w:t xml:space="preserve">6.1- </w:t>
      </w:r>
      <w:r>
        <w:rPr>
          <w:rFonts w:hint="default"/>
          <w:lang w:val="es-US"/>
        </w:rPr>
        <w:t>No aplica</w:t>
      </w:r>
      <w:r>
        <w:t xml:space="preserve">. </w:t>
      </w:r>
    </w:p>
    <w:p w14:paraId="79F7E972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 </w:t>
      </w:r>
    </w:p>
    <w:p w14:paraId="273128E5">
      <w:pPr>
        <w:pStyle w:val="style1"/>
        <w:ind w:left="-5" w:right="56"/>
        <w:rPr/>
      </w:pPr>
      <w:r>
        <w:t xml:space="preserve">7.- CRITERIOS PARA LA EVALUCIÓN DE LAS PROPUESTAS </w:t>
      </w:r>
    </w:p>
    <w:p w14:paraId="36C216CE">
      <w:pPr>
        <w:pStyle w:val="style0"/>
        <w:spacing w:after="19" w:lineRule="auto" w:line="259"/>
        <w:ind w:left="0" w:right="0" w:firstLine="0"/>
        <w:jc w:val="both"/>
        <w:rPr/>
      </w:pPr>
      <w:r>
        <w:t>7.1</w:t>
      </w:r>
      <w:r>
        <w:rPr>
          <w:rFonts w:eastAsia="Calibri"/>
          <w:color w:val="auto"/>
          <w:szCs w:val="24"/>
          <w:lang w:eastAsia="en-US"/>
        </w:rPr>
        <w:t xml:space="preserve">- Que el proyecto presentado se ajuste al fin previsto en el objeto de este Pliego (punto 2.1), sea novedoso, genere empleos en el territorio, promueva la inclusión social y tenga una proyección positiva en la comunidad. Se tendrá en cuenta, además, la incorporación de criterios de sostenibilidad ambiental, </w:t>
      </w:r>
      <w:r>
        <w:rPr>
          <w:rFonts w:eastAsia="Calibri" w:hint="default"/>
          <w:color w:val="auto"/>
          <w:szCs w:val="24"/>
          <w:lang w:val="es-US" w:eastAsia="en-US"/>
        </w:rPr>
        <w:t>y contribución a la propia infraestructura de la UNISS</w:t>
      </w:r>
      <w:r>
        <w:rPr>
          <w:rFonts w:eastAsia="Calibri"/>
          <w:color w:val="auto"/>
          <w:szCs w:val="24"/>
          <w:lang w:eastAsia="en-US"/>
        </w:rPr>
        <w:t>.</w:t>
      </w:r>
    </w:p>
    <w:p w14:paraId="007B8014">
      <w:pPr>
        <w:pStyle w:val="style0"/>
        <w:spacing w:after="0" w:lineRule="auto" w:line="259"/>
        <w:ind w:left="0" w:right="0" w:firstLine="0"/>
        <w:jc w:val="left"/>
        <w:rPr/>
      </w:pPr>
      <w:r>
        <w:rPr>
          <w:b/>
        </w:rPr>
        <w:t xml:space="preserve"> </w:t>
      </w:r>
    </w:p>
    <w:p w14:paraId="521503FC">
      <w:pPr>
        <w:pStyle w:val="style1"/>
        <w:ind w:left="-5" w:right="56"/>
        <w:rPr/>
      </w:pPr>
      <w:r>
        <w:t xml:space="preserve">8.- DOCUMENTACIÓN A PRESENTAR POR LOS PROPONENTES </w:t>
      </w:r>
    </w:p>
    <w:p w14:paraId="7330C9A3">
      <w:pPr>
        <w:pStyle w:val="style0"/>
        <w:spacing w:after="0" w:lineRule="auto" w:line="259"/>
        <w:ind w:left="0" w:right="0" w:firstLine="0"/>
        <w:jc w:val="both"/>
        <w:rPr/>
      </w:pPr>
      <w:r>
        <w:t xml:space="preserve">8.1- La presentación de las ofertas presume la aceptación de las cláusulas de este Pliego, así como la declaración responsable de que reúne todas y cada una de las condiciones exigidas. Los documentos a presentar serán los siguientes, respetando el siguiente orden:  </w:t>
      </w:r>
    </w:p>
    <w:p w14:paraId="52DFCA10">
      <w:pPr>
        <w:pStyle w:val="style0"/>
        <w:spacing w:after="0" w:lineRule="auto" w:line="259"/>
        <w:ind w:left="0" w:right="0" w:firstLine="0"/>
        <w:jc w:val="both"/>
        <w:rPr/>
      </w:pPr>
      <w:r>
        <w:t xml:space="preserve"> </w:t>
      </w:r>
    </w:p>
    <w:p w14:paraId="7DCF574A">
      <w:pPr>
        <w:pStyle w:val="style0"/>
        <w:ind w:left="-5" w:right="59"/>
        <w:jc w:val="both"/>
        <w:rPr/>
      </w:pPr>
      <w:r>
        <w:t xml:space="preserve">8.1.1- Identificación completa de la persona o Forma de Gestión </w:t>
      </w:r>
      <w:r>
        <w:rPr>
          <w:rFonts w:hint="default"/>
          <w:lang w:val="es-US"/>
        </w:rPr>
        <w:t xml:space="preserve">Estatal o </w:t>
      </w:r>
      <w:r>
        <w:t xml:space="preserve">No Estatal, que incluye dirección, teléfono, correo electrónico, número de Identidad o documento de constitución, según sea el caso y persona de contacto. </w:t>
      </w:r>
    </w:p>
    <w:p w14:paraId="34C8D5E0">
      <w:pPr>
        <w:pStyle w:val="style0"/>
        <w:spacing w:after="0" w:lineRule="auto" w:line="259"/>
        <w:ind w:left="0" w:right="0" w:firstLine="0"/>
        <w:jc w:val="both"/>
        <w:rPr/>
      </w:pPr>
      <w:r>
        <w:t xml:space="preserve">   </w:t>
      </w:r>
    </w:p>
    <w:p w14:paraId="72479C72">
      <w:pPr>
        <w:pStyle w:val="style0"/>
        <w:ind w:left="-5" w:right="59"/>
        <w:rPr/>
      </w:pPr>
      <w:r>
        <w:t xml:space="preserve">8.1.2- Documento expedido por una autoridad competente, o en su lugar, declaración responsable de no estar incluido en las prohibiciones descritas en el apartado 3 del Pliego. </w:t>
      </w:r>
    </w:p>
    <w:p w14:paraId="1D9DDD8F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3DA1DC08">
      <w:pPr>
        <w:pStyle w:val="style0"/>
        <w:ind w:left="-5" w:right="59"/>
        <w:rPr/>
      </w:pPr>
      <w:r>
        <w:t xml:space="preserve">8.1.3- Declaración responsable de solvencia económica y de que el origen de las fuentes de financiamiento para las inversiones a ejecutar, así como la procedencia de los equipos y medios son lícitos y que no actúa en beneficio de otra persona. </w:t>
      </w:r>
    </w:p>
    <w:p w14:paraId="39344FF3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3EAB2A9F">
      <w:pPr>
        <w:pStyle w:val="style0"/>
        <w:ind w:left="-5" w:right="59"/>
        <w:rPr/>
      </w:pPr>
      <w:r>
        <w:t xml:space="preserve">8.1.4- Proyecto con la siguiente información: </w:t>
      </w:r>
    </w:p>
    <w:p w14:paraId="41A8FAD3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8BA26B9">
      <w:pPr>
        <w:pStyle w:val="style0"/>
        <w:numPr>
          <w:ilvl w:val="0"/>
          <w:numId w:val="1"/>
        </w:numPr>
        <w:ind w:right="59" w:hanging="360"/>
        <w:rPr/>
      </w:pPr>
      <w:r>
        <w:t>Antecedentes:</w:t>
      </w:r>
      <w:r>
        <w:rPr>
          <w:b/>
        </w:rPr>
        <w:t xml:space="preserve"> </w:t>
      </w:r>
      <w:r>
        <w:t>Experiencia en la actividad para la cual está</w:t>
      </w:r>
      <w:r>
        <w:rPr>
          <w:rFonts w:hint="default"/>
          <w:lang w:val="es-US"/>
        </w:rPr>
        <w:t>n</w:t>
      </w:r>
      <w:r>
        <w:t xml:space="preserve"> destinado</w:t>
      </w:r>
      <w:r>
        <w:rPr>
          <w:rFonts w:hint="default"/>
          <w:lang w:val="es-US"/>
        </w:rPr>
        <w:t>s los ómnibus</w:t>
      </w:r>
      <w:r>
        <w:t xml:space="preserve">. Participación en trabajos o proyectos de la misma o similar naturaleza, en forma total o parcial, relacionada con el objeto de licitación. </w:t>
      </w:r>
    </w:p>
    <w:p w14:paraId="180A50CF">
      <w:pPr>
        <w:pStyle w:val="style0"/>
        <w:numPr>
          <w:ilvl w:val="0"/>
          <w:numId w:val="0"/>
        </w:numPr>
        <w:spacing w:after="5" w:lineRule="auto" w:line="249"/>
        <w:ind w:right="59" w:rightChars="0"/>
        <w:jc w:val="both"/>
        <w:rPr/>
      </w:pPr>
    </w:p>
    <w:p w14:paraId="3A5CC6FB">
      <w:pPr>
        <w:pStyle w:val="style0"/>
        <w:numPr>
          <w:ilvl w:val="0"/>
          <w:numId w:val="1"/>
        </w:numPr>
        <w:ind w:right="59" w:hanging="360"/>
        <w:rPr/>
      </w:pPr>
      <w:r>
        <w:t xml:space="preserve"> Propuesta técnica del proyecto: información general del proyecto, diagnóstico del problema o situación a resolver, propuesta de ofertas y servicios gastronómicos </w:t>
      </w:r>
      <w:r>
        <w:rPr>
          <w:rFonts w:hint="default"/>
          <w:lang w:val="es-US"/>
        </w:rPr>
        <w:t xml:space="preserve">u otros </w:t>
      </w:r>
      <w:r>
        <w:t xml:space="preserve">a brindar, objetivos, resultados y beneficios esperados, ideas conceptuales, memoria descriptiva, cronograma de puesta en marcha y propuesta de la ambientación, decoración, equipamiento y mobiliario. </w:t>
      </w:r>
    </w:p>
    <w:p w14:paraId="621F7CFF">
      <w:pPr>
        <w:pStyle w:val="style0"/>
        <w:numPr>
          <w:ilvl w:val="0"/>
          <w:numId w:val="0"/>
        </w:numPr>
        <w:ind w:left="360" w:leftChars="0" w:right="59" w:rightChars="0"/>
        <w:rPr/>
      </w:pPr>
    </w:p>
    <w:p w14:paraId="5AF84BED">
      <w:pPr>
        <w:pStyle w:val="style0"/>
        <w:numPr>
          <w:ilvl w:val="0"/>
          <w:numId w:val="1"/>
        </w:numPr>
        <w:ind w:right="59" w:hanging="360"/>
        <w:rPr/>
      </w:pPr>
      <w:r>
        <w:t xml:space="preserve">Impacto social: Beneficios del proyecto para el desarrollo de la comunidad donde está enclavado, la inclusión social y los empleos que puede generar, la vinculación con las instituciones culturales y educativas, además, acotar si se propone la utilización de energías renovables. </w:t>
      </w:r>
    </w:p>
    <w:p w14:paraId="4F70EE15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6E53BB31">
      <w:pPr>
        <w:pStyle w:val="style0"/>
        <w:spacing w:after="0" w:lineRule="auto" w:line="259"/>
        <w:ind w:left="0" w:right="0" w:firstLine="0"/>
        <w:jc w:val="left"/>
        <w:rPr>
          <w:rFonts w:hint="default"/>
          <w:lang w:val="es-US"/>
        </w:rPr>
      </w:pPr>
      <w:r>
        <w:t>8.1.5-</w:t>
      </w:r>
      <w:r>
        <w:rPr>
          <w:b/>
        </w:rPr>
        <w:t xml:space="preserve"> </w:t>
      </w:r>
      <w:r>
        <w:t xml:space="preserve">Propuesta económica del proyecto: </w:t>
      </w:r>
      <w:r>
        <w:rPr>
          <w:rFonts w:hint="default"/>
          <w:lang w:val="es-US"/>
        </w:rPr>
        <w:t>Listado de precios.</w:t>
      </w:r>
    </w:p>
    <w:p w14:paraId="22254E11">
      <w:pPr>
        <w:pStyle w:val="style0"/>
        <w:ind w:left="-5" w:right="59"/>
        <w:rPr/>
      </w:pPr>
      <w:r>
        <w:t xml:space="preserve">8.1.6- La documentación descrita en los apartados anteriores, se entregará, además, en soporte digital, en una carpeta que contenga en igual orden los puntos enumerados del </w:t>
      </w:r>
    </w:p>
    <w:p w14:paraId="6A2A038C">
      <w:pPr>
        <w:pStyle w:val="style0"/>
        <w:ind w:left="-5" w:right="59"/>
        <w:rPr/>
      </w:pPr>
      <w:r>
        <w:t>8.1.1 al 8.1.5.</w:t>
      </w:r>
      <w:r>
        <w:rPr>
          <w:u w:val="single"/>
        </w:rPr>
        <w:t xml:space="preserve">  </w:t>
      </w:r>
      <w:r>
        <w:t xml:space="preserve">  </w:t>
      </w:r>
    </w:p>
    <w:p w14:paraId="3D8D7F48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7AAF6EF">
      <w:pPr>
        <w:pStyle w:val="style0"/>
        <w:ind w:left="-5" w:right="59"/>
        <w:rPr/>
      </w:pPr>
      <w:r>
        <w:t xml:space="preserve">En general la documentación debe presentarse en original o en copias certificadas como fieles al original, de conformidad con la legislación vigente. </w:t>
      </w:r>
    </w:p>
    <w:p w14:paraId="26280003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77B8E0AF">
      <w:pPr>
        <w:pStyle w:val="style0"/>
        <w:ind w:left="-5" w:right="59"/>
        <w:rPr/>
      </w:pPr>
      <w:r>
        <w:t xml:space="preserve">8.2- Los documentos deben presentarse en </w:t>
      </w:r>
      <w:r>
        <w:rPr>
          <w:b/>
        </w:rPr>
        <w:t>sobre cerrado</w:t>
      </w:r>
      <w:r>
        <w:t xml:space="preserve">, lacrado o sellado, dentro se incluirá un índice de los documentos presentados que respetará el orden descrito en el numeral 8.1. El sobre se hará acompañar del siguiente modelo: </w:t>
      </w:r>
    </w:p>
    <w:p w14:paraId="2AEB278E">
      <w:pPr>
        <w:pStyle w:val="style0"/>
        <w:ind w:left="-5" w:right="59"/>
        <w:rPr/>
      </w:pPr>
    </w:p>
    <w:p w14:paraId="1FCC8182">
      <w:pPr>
        <w:pStyle w:val="style0"/>
        <w:ind w:left="-5" w:right="59"/>
        <w:rPr>
          <w:b w:val="false"/>
        </w:rPr>
      </w:pPr>
      <w:r>
        <w:t xml:space="preserve">____________ con Domicilio en ____________ con número de identidad o documento constitutivo ______________________ en nombre propio o en representación acreditada por _________________________ al tanto del anuncio publicado y del Pliego de Condiciones propuesto para la contratación por licitación pública del Arrendamiento </w:t>
      </w:r>
      <w:r>
        <w:rPr>
          <w:b w:val="false"/>
        </w:rPr>
        <w:t xml:space="preserve">de </w:t>
      </w:r>
      <w:r>
        <w:rPr>
          <w:rFonts w:hint="default"/>
          <w:b w:val="false"/>
          <w:lang w:val="es-US"/>
        </w:rPr>
        <w:t>locales</w:t>
      </w:r>
      <w:r>
        <w:rPr>
          <w:b w:val="false"/>
        </w:rPr>
        <w:t xml:space="preserve"> propiedad del estado con destino a la actividad de servicios especializados, asociados a </w:t>
      </w:r>
      <w:r>
        <w:rPr>
          <w:rFonts w:hint="default"/>
          <w:b w:val="false"/>
          <w:lang w:val="es-US"/>
        </w:rPr>
        <w:t>________________________________________________________________________</w:t>
      </w:r>
      <w:r>
        <w:rPr>
          <w:b w:val="false"/>
        </w:rPr>
        <w:t xml:space="preserve">, sito en </w:t>
      </w:r>
      <w:r>
        <w:t>Comandante Fajardo s/n  Esquina Olivos II, Municipio y Provincia de Sancti Spíritus</w:t>
      </w:r>
      <w:r>
        <w:rPr>
          <w:b w:val="false"/>
        </w:rPr>
        <w:t xml:space="preserve">, cuyo contenido conoce y acepta, se compromete a la realización del contrato de </w:t>
      </w:r>
      <w:r>
        <w:rPr>
          <w:rFonts w:hint="default"/>
          <w:b w:val="false"/>
          <w:lang w:val="es-US"/>
        </w:rPr>
        <w:t>comodato</w:t>
      </w:r>
      <w:r>
        <w:rPr>
          <w:b w:val="false"/>
        </w:rPr>
        <w:t xml:space="preserve"> que resulte, con arreglo a todos y cada uno de los apartados relacionados en el mencionado Pliego. </w:t>
      </w:r>
    </w:p>
    <w:p w14:paraId="638CE38B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7558FF85">
      <w:pPr>
        <w:pStyle w:val="style0"/>
        <w:ind w:left="-5" w:right="59"/>
        <w:rPr/>
      </w:pPr>
      <w:r>
        <w:t xml:space="preserve">Se señalarán los datos del correo electrónico al que se enviarán las notificaciones que procedan. </w:t>
      </w:r>
    </w:p>
    <w:p w14:paraId="0F7E94BB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3EF4FAE8">
      <w:pPr>
        <w:pStyle w:val="style0"/>
        <w:ind w:left="-5" w:right="59"/>
        <w:rPr/>
      </w:pPr>
      <w:r>
        <w:t xml:space="preserve">Fecha y firma del proponente.  </w:t>
      </w:r>
    </w:p>
    <w:p w14:paraId="2EF06FA5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66B50DAF">
      <w:pPr>
        <w:pStyle w:val="style1"/>
        <w:ind w:left="-5" w:right="56"/>
        <w:rPr/>
      </w:pPr>
      <w:r>
        <w:t xml:space="preserve">9.- PRESENTACION Y APERTURA DE LOS SOBRES </w:t>
      </w:r>
    </w:p>
    <w:p w14:paraId="08F72B06">
      <w:pPr>
        <w:pStyle w:val="style0"/>
        <w:spacing w:after="21" w:lineRule="auto" w:line="259"/>
        <w:ind w:left="0" w:right="0" w:firstLine="0"/>
        <w:jc w:val="both"/>
        <w:rPr/>
      </w:pPr>
      <w:r>
        <w:t xml:space="preserve">9.1- El proceso de licitación entendido desde la publicación de la convocatoria hasta la notificación de la adjudicación del contrato, se desarrolla en un período </w:t>
      </w:r>
      <w:r>
        <w:rPr>
          <w:b/>
        </w:rPr>
        <w:t xml:space="preserve">máximo de </w:t>
      </w:r>
      <w:r>
        <w:rPr>
          <w:b/>
          <w:lang w:val="es-US"/>
        </w:rPr>
        <w:t>veinticinco</w:t>
      </w:r>
      <w:r>
        <w:rPr>
          <w:b/>
        </w:rPr>
        <w:t xml:space="preserve"> (</w:t>
      </w:r>
      <w:r>
        <w:rPr>
          <w:rFonts w:hint="default"/>
          <w:b/>
          <w:lang w:val="es-US"/>
        </w:rPr>
        <w:t>15</w:t>
      </w:r>
      <w:r>
        <w:rPr>
          <w:b/>
        </w:rPr>
        <w:t xml:space="preserve">) días </w:t>
      </w:r>
      <w:r>
        <w:rPr>
          <w:rFonts w:hint="default"/>
          <w:b/>
          <w:lang w:val="es-US"/>
        </w:rPr>
        <w:t>naturales</w:t>
      </w:r>
      <w:r>
        <w:rPr>
          <w:b/>
        </w:rPr>
        <w:t xml:space="preserve">. </w:t>
      </w:r>
    </w:p>
    <w:p w14:paraId="37EAFC42">
      <w:pPr>
        <w:pStyle w:val="style0"/>
        <w:spacing w:after="19" w:lineRule="auto" w:line="259"/>
        <w:ind w:left="0" w:right="0" w:firstLine="0"/>
        <w:jc w:val="both"/>
        <w:rPr/>
      </w:pPr>
      <w:r>
        <w:rPr>
          <w:sz w:val="20"/>
        </w:rPr>
        <w:t xml:space="preserve"> </w:t>
      </w:r>
    </w:p>
    <w:p w14:paraId="71846CEE">
      <w:pPr>
        <w:pStyle w:val="style0"/>
        <w:ind w:left="-5" w:right="59"/>
        <w:jc w:val="both"/>
        <w:rPr/>
      </w:pPr>
      <w:r>
        <w:t>9.2- Las ofertas se recibirán a partir de</w:t>
      </w:r>
      <w:r>
        <w:rPr>
          <w:rFonts w:hint="default"/>
          <w:lang w:val="es-US"/>
        </w:rPr>
        <w:t xml:space="preserve">l día </w:t>
      </w:r>
      <w:r>
        <w:t xml:space="preserve">de la publicación de la convocatoria, en días laborables, en el horario de </w:t>
      </w:r>
      <w:r>
        <w:rPr>
          <w:rFonts w:hint="default"/>
          <w:lang w:val="es-US"/>
        </w:rPr>
        <w:t>09</w:t>
      </w:r>
      <w:r>
        <w:t>:00 a 1</w:t>
      </w:r>
      <w:r>
        <w:rPr>
          <w:rFonts w:hint="default"/>
          <w:lang w:val="es-US"/>
        </w:rPr>
        <w:t>2</w:t>
      </w:r>
      <w:r>
        <w:t xml:space="preserve">:00 horas, hasta el final del plazo de </w:t>
      </w:r>
      <w:r>
        <w:rPr>
          <w:rFonts w:hint="default"/>
          <w:lang w:val="es-US"/>
        </w:rPr>
        <w:t>quince (5)</w:t>
      </w:r>
      <w:r>
        <w:t xml:space="preserve"> días </w:t>
      </w:r>
      <w:r>
        <w:rPr>
          <w:rFonts w:hint="default"/>
          <w:lang w:val="es-US"/>
        </w:rPr>
        <w:t>naturales</w:t>
      </w:r>
      <w:r>
        <w:t xml:space="preserve">, contados a partir de la convocatoria.  </w:t>
      </w:r>
    </w:p>
    <w:p w14:paraId="6897AA9B">
      <w:pPr>
        <w:pStyle w:val="style0"/>
        <w:spacing w:after="17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6CC39E6C">
      <w:pPr>
        <w:pStyle w:val="style0"/>
        <w:ind w:left="-5" w:right="59"/>
        <w:rPr/>
      </w:pPr>
      <w:r>
        <w:t xml:space="preserve">9.3- La apertura de los sobres se realiza dentro de los </w:t>
      </w:r>
      <w:r>
        <w:rPr>
          <w:rFonts w:hint="default"/>
          <w:lang w:val="es-US"/>
        </w:rPr>
        <w:t>tres</w:t>
      </w:r>
      <w:r>
        <w:t xml:space="preserve"> (</w:t>
      </w:r>
      <w:r>
        <w:rPr>
          <w:rFonts w:hint="default"/>
          <w:lang w:val="es-US"/>
        </w:rPr>
        <w:t>3</w:t>
      </w:r>
      <w:r>
        <w:t xml:space="preserve">) días </w:t>
      </w:r>
      <w:r>
        <w:rPr>
          <w:rFonts w:hint="default"/>
          <w:lang w:val="es-US"/>
        </w:rPr>
        <w:t>naturales</w:t>
      </w:r>
      <w:r>
        <w:t xml:space="preserve"> posteriores a la fecha de vencimiento de entrega de las ofertas.  </w:t>
      </w:r>
    </w:p>
    <w:p w14:paraId="4F126973">
      <w:pPr>
        <w:pStyle w:val="style0"/>
        <w:spacing w:after="0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69F272D9">
      <w:pPr>
        <w:pStyle w:val="style0"/>
        <w:ind w:left="-5" w:right="59"/>
        <w:rPr/>
      </w:pPr>
      <w:r>
        <w:t xml:space="preserve">9.4-Se requiere para informar los resultados de la licitación, de un plazo de hasta </w:t>
      </w:r>
      <w:r>
        <w:rPr>
          <w:rFonts w:hint="default"/>
          <w:lang w:val="es-US"/>
        </w:rPr>
        <w:t>tres</w:t>
      </w:r>
      <w:r>
        <w:t xml:space="preserve"> (</w:t>
      </w:r>
      <w:r>
        <w:rPr>
          <w:rFonts w:hint="default"/>
          <w:lang w:val="es-US"/>
        </w:rPr>
        <w:t>3</w:t>
      </w:r>
      <w:r>
        <w:t xml:space="preserve">) días naturales, contados desde la fecha de apertura de los sobres. </w:t>
      </w:r>
    </w:p>
    <w:p w14:paraId="46D86ED9">
      <w:pPr>
        <w:pStyle w:val="style0"/>
        <w:spacing w:after="19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57FA7843">
      <w:pPr>
        <w:pStyle w:val="style0"/>
        <w:ind w:left="-5" w:right="59"/>
        <w:rPr/>
      </w:pPr>
      <w:r>
        <w:t xml:space="preserve">9.5- Los oferentes pueden, en el término de tres (3) días </w:t>
      </w:r>
      <w:r>
        <w:rPr>
          <w:rFonts w:hint="default"/>
          <w:lang w:val="es-US"/>
        </w:rPr>
        <w:t>naturales</w:t>
      </w:r>
      <w:r>
        <w:t xml:space="preserve"> a partir de la notificación de los resultados de la licitación, presentar a la comisión de licitación la solicitud de aclaración</w:t>
      </w:r>
      <w:r>
        <w:rPr>
          <w:rFonts w:hint="default"/>
          <w:lang w:val="es-US"/>
        </w:rPr>
        <w:t xml:space="preserve"> o reclamación</w:t>
      </w:r>
      <w:r>
        <w:t xml:space="preserve">, que deberá responderse en los </w:t>
      </w:r>
      <w:r>
        <w:rPr>
          <w:rFonts w:hint="default"/>
          <w:lang w:val="es-US"/>
        </w:rPr>
        <w:t>dos</w:t>
      </w:r>
      <w:r>
        <w:t xml:space="preserve"> (</w:t>
      </w:r>
      <w:r>
        <w:rPr>
          <w:rFonts w:hint="default"/>
          <w:lang w:val="es-US"/>
        </w:rPr>
        <w:t>2</w:t>
      </w:r>
      <w:r>
        <w:t xml:space="preserve">) días </w:t>
      </w:r>
      <w:r>
        <w:rPr>
          <w:rFonts w:hint="default"/>
          <w:lang w:val="es-US"/>
        </w:rPr>
        <w:t>naturales</w:t>
      </w:r>
      <w:r>
        <w:t xml:space="preserve"> siguientes a la aceptación de esta. </w:t>
      </w:r>
    </w:p>
    <w:p w14:paraId="7D226E97">
      <w:pPr>
        <w:pStyle w:val="style0"/>
        <w:spacing w:after="20" w:lineRule="auto" w:line="259"/>
        <w:ind w:left="0" w:right="0" w:firstLine="0"/>
        <w:jc w:val="left"/>
        <w:rPr/>
      </w:pPr>
      <w:r>
        <w:rPr>
          <w:sz w:val="20"/>
        </w:rPr>
        <w:t xml:space="preserve"> </w:t>
      </w:r>
    </w:p>
    <w:p w14:paraId="21E657FB">
      <w:pPr>
        <w:pStyle w:val="style0"/>
        <w:ind w:left="-5" w:right="59"/>
        <w:rPr/>
      </w:pPr>
      <w:r>
        <w:t xml:space="preserve">9.6- Si después de otorgado el </w:t>
      </w:r>
      <w:r>
        <w:rPr>
          <w:rFonts w:hint="default"/>
          <w:lang w:val="es-US"/>
        </w:rPr>
        <w:t>contrato</w:t>
      </w:r>
      <w:r>
        <w:t xml:space="preserve">, la persona seleccionada no firma el contrato de o si una vez firmado se retira, la </w:t>
      </w:r>
      <w:r>
        <w:rPr>
          <w:rFonts w:hint="default"/>
          <w:lang w:val="es-US"/>
        </w:rPr>
        <w:t>UNISS</w:t>
      </w:r>
      <w:r>
        <w:t xml:space="preserve"> vuelve a convocar a los interesados restantes y evalúa un nuevo otorgamiento a partir de la revisión de las ofertas entregadas en el proceso inicial, el cual se ejecuta en un término de siete (7) días </w:t>
      </w:r>
      <w:r>
        <w:rPr>
          <w:rFonts w:hint="default"/>
          <w:lang w:val="es-US"/>
        </w:rPr>
        <w:t>naturales</w:t>
      </w:r>
      <w:r>
        <w:t xml:space="preserve">. </w:t>
      </w:r>
    </w:p>
    <w:p w14:paraId="408542ED">
      <w:pPr>
        <w:pStyle w:val="style0"/>
        <w:ind w:left="-5" w:right="59"/>
        <w:rPr/>
      </w:pPr>
    </w:p>
    <w:p w14:paraId="54C64509">
      <w:pPr>
        <w:pStyle w:val="style0"/>
        <w:spacing w:after="0" w:lineRule="auto" w:line="259"/>
        <w:ind w:left="0" w:right="0" w:firstLine="0"/>
        <w:jc w:val="both"/>
        <w:rPr/>
      </w:pPr>
      <w:r>
        <w:t xml:space="preserve">9.7- La documentación se entregará en la sede de la </w:t>
      </w:r>
      <w:r>
        <w:rPr>
          <w:rFonts w:hint="default"/>
          <w:lang w:val="es-US"/>
        </w:rPr>
        <w:t>UNISS</w:t>
      </w:r>
      <w:r>
        <w:t xml:space="preserve">, en particular en las Oficinas </w:t>
      </w:r>
      <w:r>
        <w:rPr>
          <w:rFonts w:hint="default"/>
          <w:lang w:val="es-US"/>
        </w:rPr>
        <w:t xml:space="preserve">de la Dirección General II ubicadas en </w:t>
      </w:r>
      <w:r>
        <w:t xml:space="preserve">Comandante Fajardo s/n  Esquina Olivos II, Municipio y Provincia de Sancti Spíritus: </w:t>
      </w:r>
    </w:p>
    <w:p w14:paraId="6E723710">
      <w:pPr>
        <w:pStyle w:val="style0"/>
        <w:spacing w:after="0" w:lineRule="auto" w:line="259"/>
        <w:ind w:left="0" w:right="0" w:firstLine="0"/>
        <w:jc w:val="both"/>
        <w:rPr/>
      </w:pPr>
      <w:r>
        <w:t xml:space="preserve"> </w:t>
      </w:r>
    </w:p>
    <w:p w14:paraId="413C90B4">
      <w:pPr>
        <w:pStyle w:val="style0"/>
        <w:ind w:left="-5" w:right="59"/>
        <w:jc w:val="both"/>
        <w:rPr/>
      </w:pPr>
      <w:r>
        <w:t xml:space="preserve">Teléfono: </w:t>
      </w:r>
      <w:r>
        <w:rPr>
          <w:rFonts w:hint="default"/>
          <w:lang w:val="es-US"/>
        </w:rPr>
        <w:t>41 32 8548 o 52113344</w:t>
      </w:r>
      <w:r>
        <w:t xml:space="preserve"> </w:t>
      </w:r>
    </w:p>
    <w:p w14:paraId="7E3FC811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83877DE">
      <w:pPr>
        <w:pStyle w:val="style0"/>
        <w:ind w:left="-5" w:right="59"/>
        <w:rPr/>
      </w:pPr>
      <w:r>
        <w:t xml:space="preserve">9.8- Las aclaraciones que requieran los ofertantes durante el proceso de licitación deben canalizarse a través de la dirección de correo electrónico: </w:t>
      </w:r>
      <w:r>
        <w:rPr>
          <w:rFonts w:hint="default"/>
          <w:lang w:val="es-US"/>
        </w:rPr>
        <w:t>ihovani@uniss.edu.cu</w:t>
      </w:r>
      <w:r>
        <w:t xml:space="preserve"> </w:t>
      </w:r>
    </w:p>
    <w:p w14:paraId="2C5A5099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29B52B1B">
      <w:pPr>
        <w:pStyle w:val="style0"/>
        <w:ind w:left="-5" w:right="59"/>
        <w:rPr/>
      </w:pPr>
      <w:r>
        <w:t xml:space="preserve">9.9- Los sobres se abrirán en el lugar y la hora fijados a tal fin, por la Comisión de Licitación en presencia de notario y de los interesados que concurran. Se procederá a abrir los sobres; se anunciará la cantidad de ofertas recibidas, el contenido de cada una de ellas y la renta dispuesta a pagar de cada proyecto. </w:t>
      </w:r>
    </w:p>
    <w:p w14:paraId="7719C174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2349B1F7">
      <w:pPr>
        <w:pStyle w:val="style0"/>
        <w:ind w:left="-5" w:right="59"/>
        <w:rPr/>
      </w:pPr>
      <w:r>
        <w:t xml:space="preserve">9.10- En el acto de apertura se verificará que las propuestas cuenten con los documentos y el orden que para ellos se establece en el punto 8.1 de este Pliego.  </w:t>
      </w:r>
    </w:p>
    <w:p w14:paraId="5F7DC626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6D3D105E">
      <w:pPr>
        <w:pStyle w:val="style0"/>
        <w:ind w:left="-5" w:right="59"/>
        <w:rPr/>
      </w:pPr>
      <w:r>
        <w:t xml:space="preserve">9.11- Las ofertas que no contengan alguno de los documentos o requisitos establecidos </w:t>
      </w:r>
      <w:r>
        <w:rPr>
          <w:lang w:val="es-US"/>
        </w:rPr>
        <w:t>podrán</w:t>
      </w:r>
      <w:r>
        <w:rPr>
          <w:rFonts w:hint="default"/>
          <w:lang w:val="es-US"/>
        </w:rPr>
        <w:t xml:space="preserve"> ser </w:t>
      </w:r>
      <w:r>
        <w:t>rechaza</w:t>
      </w:r>
      <w:r>
        <w:rPr>
          <w:rFonts w:hint="default"/>
          <w:lang w:val="es-US"/>
        </w:rPr>
        <w:t>das y devueltas</w:t>
      </w:r>
      <w:r>
        <w:t xml:space="preserve"> en el mismo acto de apertura. No se considerarán las que presenten correcciones o tachaduras. </w:t>
      </w:r>
    </w:p>
    <w:p w14:paraId="1B56EA0E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5783C5A8">
      <w:pPr>
        <w:pStyle w:val="style0"/>
        <w:ind w:left="-5" w:right="59"/>
        <w:rPr/>
      </w:pPr>
      <w:r>
        <w:t xml:space="preserve">9.12- Por el solo hecho de presentación de la oferta, se considera que se han consentido las bases y condiciones de la presente licitación, razón por la cual el oferente renuncia a invocar a su favor, </w:t>
      </w:r>
      <w:r>
        <w:rPr>
          <w:i/>
        </w:rPr>
        <w:t>a posteriori</w:t>
      </w:r>
      <w:r>
        <w:t xml:space="preserve">, errores en los cuales pudiera haber incurrido al formular la oferta. </w:t>
      </w:r>
    </w:p>
    <w:p w14:paraId="238C4F77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28282C99">
      <w:pPr>
        <w:pStyle w:val="style0"/>
        <w:ind w:left="-5" w:right="59"/>
        <w:rPr/>
      </w:pPr>
      <w:r>
        <w:t xml:space="preserve">9.13- El falseamiento de datos determinará la inmediata exclusión del oferente. Si la falsedad fuera advertida con posterioridad a la adjudicación y/o contratación, será causal suficiente para dejar sin efecto la misma o rescindir el contrato por causa imputable al prestador, sin perjuicio de las demás responsabilidades que pudieran derivar de tal circunstancia. </w:t>
      </w:r>
    </w:p>
    <w:p w14:paraId="56A550F5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743D214D">
      <w:pPr>
        <w:pStyle w:val="style0"/>
        <w:ind w:left="-5" w:right="59"/>
        <w:rPr/>
      </w:pPr>
      <w:r>
        <w:t xml:space="preserve">9.14- Se dejará constancia mediante el acta correspondiente de cada una de las actividades del proceso de licitación. </w:t>
      </w:r>
    </w:p>
    <w:p w14:paraId="3DCE719D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7EAF26B6">
      <w:pPr>
        <w:pStyle w:val="style0"/>
        <w:ind w:left="-5" w:right="59"/>
        <w:rPr>
          <w:rFonts w:hint="default"/>
          <w:lang w:val="es-US"/>
        </w:rPr>
      </w:pPr>
      <w:r>
        <w:t xml:space="preserve">9.15- Cualquier interesado puede retirarse del proceso de licitación o solicitud, comunicando su decisión a la </w:t>
      </w:r>
      <w:r>
        <w:rPr>
          <w:rFonts w:hint="default"/>
          <w:lang w:val="es-US"/>
        </w:rPr>
        <w:t>entidad licitante.</w:t>
      </w:r>
    </w:p>
    <w:p w14:paraId="61694F0A">
      <w:pPr>
        <w:pStyle w:val="style0"/>
        <w:spacing w:after="0" w:lineRule="auto" w:line="259"/>
        <w:ind w:left="0" w:right="0" w:firstLine="0"/>
        <w:jc w:val="left"/>
        <w:rPr/>
      </w:pPr>
      <w:r>
        <w:rPr>
          <w:b/>
        </w:rPr>
        <w:t xml:space="preserve"> </w:t>
      </w:r>
    </w:p>
    <w:p w14:paraId="6046BAFF">
      <w:pPr>
        <w:pStyle w:val="style1"/>
        <w:ind w:left="-5" w:right="56"/>
        <w:rPr/>
      </w:pPr>
      <w:r>
        <w:t xml:space="preserve">10.- COMISIÓN DE LICITACIÓN  </w:t>
      </w:r>
    </w:p>
    <w:p w14:paraId="79DBC521">
      <w:pPr>
        <w:pStyle w:val="style0"/>
        <w:spacing w:after="0" w:lineRule="auto" w:line="259"/>
        <w:ind w:left="0" w:right="0" w:firstLine="0"/>
        <w:jc w:val="both"/>
        <w:rPr/>
      </w:pPr>
      <w:r>
        <w:t xml:space="preserve">10.1- La Comisión de Licitación estará constituida por </w:t>
      </w:r>
      <w:r>
        <w:rPr>
          <w:rFonts w:hint="default"/>
          <w:lang w:val="es-US"/>
        </w:rPr>
        <w:t xml:space="preserve">los </w:t>
      </w:r>
      <w:r>
        <w:t xml:space="preserve">directivos y especialistas </w:t>
      </w:r>
      <w:r>
        <w:rPr>
          <w:rFonts w:hint="default"/>
          <w:lang w:val="es-US"/>
        </w:rPr>
        <w:t>definidos en el reglamento de contratación de esta entidad,</w:t>
      </w:r>
      <w:r>
        <w:t xml:space="preserve"> </w:t>
      </w:r>
      <w:r>
        <w:rPr>
          <w:rFonts w:hint="default"/>
          <w:lang w:val="es-US"/>
        </w:rPr>
        <w:t xml:space="preserve">en </w:t>
      </w:r>
      <w:r>
        <w:t xml:space="preserve">función de los aspectos a valorar. Esta comisión es la encargada de la apertura de los sobres, evaluar las propuestas presentadas por los licitantes y </w:t>
      </w:r>
      <w:r>
        <w:rPr>
          <w:rFonts w:hint="default"/>
          <w:lang w:val="es-US"/>
        </w:rPr>
        <w:t>adoptar la decisión final</w:t>
      </w:r>
      <w:r>
        <w:t xml:space="preserve">. </w:t>
      </w:r>
    </w:p>
    <w:p w14:paraId="7F02426C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98336E7">
      <w:pPr>
        <w:pStyle w:val="style1"/>
        <w:ind w:left="-5" w:right="56"/>
        <w:rPr/>
      </w:pPr>
      <w:r>
        <w:t xml:space="preserve">11.- FORMALIZACIÓN DEL CONTRATO </w:t>
      </w:r>
    </w:p>
    <w:p w14:paraId="37F4CF04">
      <w:pPr>
        <w:pStyle w:val="style0"/>
        <w:spacing w:after="0" w:lineRule="auto" w:line="259"/>
        <w:ind w:left="0" w:right="0" w:firstLine="0"/>
        <w:jc w:val="both"/>
        <w:rPr/>
      </w:pPr>
      <w:r>
        <w:t xml:space="preserve">11.1-El contrato derivado de la adjudicación del </w:t>
      </w:r>
      <w:r>
        <w:rPr>
          <w:rFonts w:hint="default"/>
          <w:lang w:val="es-US"/>
        </w:rPr>
        <w:t>inmueble y el servicio</w:t>
      </w:r>
      <w:r>
        <w:t xml:space="preserve"> objeto de este Pliego se perfeccionará con su formalización, será de acuerdo al marco legal descrito en el numeral 4.2 y en un período de hasta </w:t>
      </w:r>
      <w:r>
        <w:rPr>
          <w:rFonts w:hint="default"/>
          <w:lang w:val="es-US"/>
        </w:rPr>
        <w:t>tres</w:t>
      </w:r>
      <w:r>
        <w:t xml:space="preserve"> (</w:t>
      </w:r>
      <w:r>
        <w:rPr>
          <w:rFonts w:hint="default"/>
          <w:lang w:val="es-US"/>
        </w:rPr>
        <w:t>3</w:t>
      </w:r>
      <w:r>
        <w:t xml:space="preserve">) días hábiles posteriores a la notificación de la adjudicación. No podrá iniciarse la ejecución del contrato sin su previa formalización. </w:t>
      </w:r>
    </w:p>
    <w:p w14:paraId="226D8227">
      <w:pPr>
        <w:pStyle w:val="style0"/>
        <w:spacing w:after="0" w:lineRule="auto" w:line="259"/>
        <w:ind w:left="0" w:right="0" w:firstLine="0"/>
        <w:jc w:val="both"/>
        <w:rPr/>
      </w:pPr>
      <w:r>
        <w:rPr>
          <w:b/>
        </w:rPr>
        <w:t xml:space="preserve"> </w:t>
      </w:r>
    </w:p>
    <w:p w14:paraId="0B71076D">
      <w:pPr>
        <w:pStyle w:val="style1"/>
        <w:ind w:left="-5" w:right="56"/>
        <w:rPr/>
      </w:pPr>
      <w:r>
        <w:t xml:space="preserve">12.- GASTOS </w:t>
      </w:r>
    </w:p>
    <w:p w14:paraId="06837F56">
      <w:pPr>
        <w:pStyle w:val="style0"/>
        <w:spacing w:after="0" w:lineRule="auto" w:line="259"/>
        <w:ind w:left="0" w:right="0" w:firstLine="0"/>
        <w:jc w:val="both"/>
        <w:rPr/>
      </w:pPr>
      <w:r>
        <w:t xml:space="preserve">12.1- </w:t>
      </w:r>
      <w:r>
        <w:rPr>
          <w:b/>
        </w:rPr>
        <w:t>EL</w:t>
      </w:r>
      <w:r>
        <w:t xml:space="preserve"> </w:t>
      </w:r>
      <w:r>
        <w:rPr>
          <w:rFonts w:hint="default"/>
          <w:b/>
          <w:bCs/>
          <w:lang w:val="es-US"/>
        </w:rPr>
        <w:t>COMODATARIO</w:t>
      </w:r>
      <w:r>
        <w:t xml:space="preserve"> estará obligado a pagar el importe de los gastos en que incurra, durante los trámites preparatorios y de formalización del contrato. </w:t>
      </w:r>
    </w:p>
    <w:p w14:paraId="562BC46E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6DBF6B03">
      <w:pPr>
        <w:pStyle w:val="style1"/>
        <w:ind w:left="-5" w:right="56"/>
        <w:rPr/>
      </w:pPr>
      <w:r>
        <w:t xml:space="preserve">13.- SOLUCIÓN DE CONFLICTOS </w:t>
      </w:r>
    </w:p>
    <w:p w14:paraId="031B538C">
      <w:pPr>
        <w:pStyle w:val="style0"/>
        <w:spacing w:after="0" w:lineRule="auto" w:line="259"/>
        <w:ind w:left="0" w:right="0" w:firstLine="0"/>
        <w:jc w:val="left"/>
        <w:rPr/>
      </w:pPr>
      <w:r>
        <w:t xml:space="preserve">13.1- Las partes aceptarán cumplir de buena fe el Contrato. </w:t>
      </w:r>
    </w:p>
    <w:p w14:paraId="6781E417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06458FC1">
      <w:pPr>
        <w:pStyle w:val="style0"/>
        <w:ind w:left="-5" w:right="59"/>
        <w:rPr/>
      </w:pPr>
      <w:r>
        <w:t xml:space="preserve">13.2- A partir de la formalización del Contrato, cualquier discrepancia que surja en su interpretación o ejecución, o ambas, deberá resolverse preferentemente por la vía amistosa. De no llegarse a un acuerdo razonable, las Partes someterán sus discrepancias al conocimiento y solución del órgano jurisdiccional competente. </w:t>
      </w:r>
    </w:p>
    <w:p w14:paraId="27907088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7A7DD37B">
      <w:pPr>
        <w:pStyle w:val="style0"/>
        <w:spacing w:after="4" w:lineRule="auto" w:line="251"/>
        <w:ind w:left="-5" w:right="56"/>
        <w:rPr/>
      </w:pPr>
      <w:r>
        <w:rPr>
          <w:b/>
        </w:rPr>
        <w:t xml:space="preserve">14.- CRONOGRAMA DE ACTIVIDADES ASOCIADAS A LA LICITACION. </w:t>
      </w:r>
    </w:p>
    <w:tbl>
      <w:tblPr>
        <w:tblStyle w:val="style4098"/>
        <w:tblW w:w="9631" w:type="dxa"/>
        <w:tblInd w:w="5" w:type="dxa"/>
        <w:tblCellMar>
          <w:top w:w="11" w:type="dxa"/>
          <w:left w:w="108" w:type="dxa"/>
          <w:bottom w:w="0" w:type="dxa"/>
          <w:right w:w="41" w:type="dxa"/>
        </w:tblCellMar>
      </w:tblPr>
      <w:tblGrid>
        <w:gridCol w:w="3610"/>
        <w:gridCol w:w="3048"/>
        <w:gridCol w:w="1419"/>
        <w:gridCol w:w="1554"/>
      </w:tblGrid>
      <w:tr w14:paraId="3AB74880">
        <w:trPr>
          <w:trHeight w:val="286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707A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 </w:t>
            </w:r>
            <w:r>
              <w:rPr>
                <w:b/>
              </w:rPr>
              <w:t xml:space="preserve">Actividades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7066E">
            <w:pPr>
              <w:pStyle w:val="style0"/>
              <w:spacing w:after="0" w:lineRule="auto" w:line="259"/>
              <w:ind w:left="0" w:right="67" w:firstLine="0"/>
              <w:jc w:val="center"/>
              <w:rPr/>
            </w:pPr>
            <w:r>
              <w:rPr>
                <w:b/>
              </w:rPr>
              <w:t xml:space="preserve">Lugar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1B6">
            <w:pPr>
              <w:pStyle w:val="style0"/>
              <w:spacing w:after="0" w:lineRule="auto" w:line="259"/>
              <w:ind w:left="0" w:right="65" w:firstLine="0"/>
              <w:jc w:val="center"/>
              <w:rPr/>
            </w:pPr>
            <w:r>
              <w:rPr>
                <w:b/>
              </w:rPr>
              <w:t xml:space="preserve">Fecha 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A4BB">
            <w:pPr>
              <w:pStyle w:val="style0"/>
              <w:spacing w:after="0" w:lineRule="auto" w:line="259"/>
              <w:ind w:left="0" w:right="71" w:firstLine="0"/>
              <w:jc w:val="center"/>
              <w:rPr/>
            </w:pPr>
            <w:r>
              <w:rPr>
                <w:b/>
              </w:rPr>
              <w:t xml:space="preserve">Hora </w:t>
            </w:r>
          </w:p>
        </w:tc>
      </w:tr>
      <w:tr w14:paraId="2BFD5F02">
        <w:tblPrEx/>
        <w:trPr>
          <w:trHeight w:val="1114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6E14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Lanzamiento de la propuesta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9BD2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Página Web de la </w:t>
            </w:r>
            <w:r>
              <w:rPr>
                <w:rFonts w:hint="default"/>
                <w:lang w:val="es-US"/>
              </w:rPr>
              <w:t>UNISS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AA878">
            <w:pPr>
              <w:pStyle w:val="style0"/>
              <w:spacing w:after="0" w:lineRule="auto" w:line="259"/>
              <w:ind w:left="0" w:right="0" w:firstLine="0"/>
              <w:rPr/>
            </w:pPr>
            <w:r>
              <w:rPr>
                <w:rFonts w:hint="default"/>
                <w:lang w:val="es-US"/>
              </w:rPr>
              <w:t xml:space="preserve">9 </w:t>
            </w:r>
            <w:r>
              <w:t xml:space="preserve">de </w:t>
            </w:r>
            <w:r>
              <w:rPr>
                <w:rFonts w:hint="default"/>
                <w:lang w:val="es-US"/>
              </w:rPr>
              <w:t xml:space="preserve">octubre </w:t>
            </w:r>
            <w:r>
              <w:t xml:space="preserve"> de 202</w:t>
            </w:r>
            <w:r>
              <w:rPr>
                <w:rFonts w:hint="default"/>
                <w:lang w:val="es-US"/>
              </w:rPr>
              <w:t>6</w:t>
            </w:r>
            <w:r>
              <w:t>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13E0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09.00</w:t>
            </w:r>
            <w:r>
              <w:t xml:space="preserve"> am</w:t>
            </w:r>
          </w:p>
        </w:tc>
      </w:tr>
      <w:tr w14:paraId="54633655">
        <w:tblPrEx/>
        <w:trPr>
          <w:trHeight w:val="1390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E8DF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Entrega de las ofertas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B863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Oficinas </w:t>
            </w:r>
            <w:r>
              <w:rPr>
                <w:rFonts w:hint="default"/>
                <w:lang w:val="es-US"/>
              </w:rPr>
              <w:t xml:space="preserve">de la Dirección de Servicios Generales ubicadas en </w:t>
            </w:r>
            <w:r>
              <w:t>Comandante Fajardo s/n  Esquina Olivos II, Municipio y Provincia de Sancti Spíritus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8064">
            <w:pPr>
              <w:pStyle w:val="style0"/>
              <w:spacing w:after="0" w:lineRule="auto" w:line="259"/>
              <w:ind w:left="0" w:right="0" w:firstLine="0"/>
              <w:rPr/>
            </w:pPr>
            <w:r>
              <w:t>De</w:t>
            </w:r>
            <w:r>
              <w:rPr>
                <w:rFonts w:hint="default"/>
                <w:lang w:val="es-US"/>
              </w:rPr>
              <w:t>l</w:t>
            </w:r>
            <w:r>
              <w:t xml:space="preserve"> 1</w:t>
            </w:r>
            <w:r>
              <w:rPr>
                <w:rFonts w:hint="default"/>
                <w:lang w:val="es-US"/>
              </w:rPr>
              <w:t>2</w:t>
            </w:r>
            <w:r>
              <w:t xml:space="preserve"> de </w:t>
            </w:r>
            <w:r>
              <w:rPr>
                <w:rFonts w:hint="default"/>
                <w:lang w:val="es-US"/>
              </w:rPr>
              <w:t>octubre</w:t>
            </w:r>
            <w:r>
              <w:t xml:space="preserve"> </w:t>
            </w:r>
            <w:r>
              <w:rPr>
                <w:rFonts w:hint="default"/>
                <w:lang w:val="es-US"/>
              </w:rPr>
              <w:t>al</w:t>
            </w:r>
            <w:r>
              <w:t xml:space="preserve"> </w:t>
            </w:r>
            <w:r>
              <w:rPr>
                <w:rFonts w:hint="default"/>
                <w:lang w:val="es-US"/>
              </w:rPr>
              <w:t>15</w:t>
            </w:r>
            <w:r>
              <w:t xml:space="preserve"> de </w:t>
            </w:r>
            <w:r>
              <w:rPr>
                <w:rFonts w:hint="default"/>
                <w:lang w:val="es-US"/>
              </w:rPr>
              <w:t>octubre</w:t>
            </w:r>
            <w:r>
              <w:t xml:space="preserve"> 20</w:t>
            </w:r>
            <w:r>
              <w:rPr>
                <w:rFonts w:hint="default"/>
                <w:lang w:val="es-US"/>
              </w:rPr>
              <w:t>26</w:t>
            </w:r>
            <w:r>
              <w:t>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B099">
            <w:pPr>
              <w:pStyle w:val="style0"/>
              <w:spacing w:after="0" w:lineRule="auto" w:line="259"/>
              <w:ind w:left="0" w:right="0" w:firstLine="0"/>
              <w:jc w:val="left"/>
              <w:rPr>
                <w:rFonts w:hint="default"/>
                <w:lang w:val="es-US"/>
              </w:rPr>
            </w:pPr>
            <w:r>
              <w:rPr>
                <w:rFonts w:hint="default"/>
                <w:lang w:val="es-US"/>
              </w:rPr>
              <w:t>09</w:t>
            </w:r>
            <w:r>
              <w:t xml:space="preserve">.00 </w:t>
            </w:r>
            <w:r>
              <w:rPr>
                <w:rFonts w:hint="default"/>
                <w:lang w:val="es-US"/>
              </w:rPr>
              <w:t>am a</w:t>
            </w:r>
          </w:p>
          <w:p w14:paraId="52D13640">
            <w:pPr>
              <w:pStyle w:val="style0"/>
              <w:spacing w:after="0" w:lineRule="auto" w:line="259"/>
              <w:ind w:left="0" w:right="0" w:firstLine="0"/>
              <w:jc w:val="left"/>
              <w:rPr>
                <w:rFonts w:hint="default"/>
                <w:lang w:val="es-US"/>
              </w:rPr>
            </w:pPr>
            <w:r>
              <w:rPr>
                <w:rFonts w:hint="default"/>
                <w:lang w:val="es-US"/>
              </w:rPr>
              <w:t>12.00 m</w:t>
            </w:r>
          </w:p>
        </w:tc>
      </w:tr>
      <w:tr w14:paraId="0735ECA8">
        <w:tblPrEx/>
        <w:trPr>
          <w:trHeight w:val="840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EEAE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Apertura de los sobres sellados contentivos de las ofertas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6EB1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>Salón de reuniones de</w:t>
            </w:r>
            <w:r>
              <w:rPr>
                <w:rFonts w:hint="default"/>
                <w:lang w:val="es-US"/>
              </w:rPr>
              <w:t>l Rectorado de la UNISS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5CC7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18</w:t>
            </w:r>
            <w:r>
              <w:t xml:space="preserve"> de </w:t>
            </w:r>
            <w:r>
              <w:rPr>
                <w:rFonts w:hint="default"/>
                <w:lang w:val="es-US"/>
              </w:rPr>
              <w:t>octubre</w:t>
            </w:r>
            <w:r>
              <w:t xml:space="preserve"> de 202</w:t>
            </w:r>
            <w:r>
              <w:rPr>
                <w:rFonts w:hint="default"/>
                <w:lang w:val="es-US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414E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10</w:t>
            </w:r>
            <w:r>
              <w:t xml:space="preserve">.00 </w:t>
            </w:r>
            <w:r>
              <w:rPr>
                <w:rFonts w:hint="default"/>
                <w:lang w:val="es-US"/>
              </w:rPr>
              <w:t>am</w:t>
            </w:r>
          </w:p>
        </w:tc>
      </w:tr>
      <w:tr w14:paraId="3965D7A5">
        <w:tblPrEx/>
        <w:trPr>
          <w:trHeight w:val="838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D217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Notificación de la adjudicación del contrato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1DB5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>Salón de reuniones de</w:t>
            </w:r>
            <w:r>
              <w:rPr>
                <w:rFonts w:hint="default"/>
                <w:lang w:val="es-US"/>
              </w:rPr>
              <w:t>l Rectorado de la UNISS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6604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19</w:t>
            </w:r>
            <w:r>
              <w:t xml:space="preserve"> de </w:t>
            </w:r>
            <w:r>
              <w:rPr>
                <w:rFonts w:hint="default"/>
                <w:lang w:val="es-US"/>
              </w:rPr>
              <w:t>octubre</w:t>
            </w:r>
            <w:r>
              <w:t xml:space="preserve"> de 202</w:t>
            </w:r>
            <w:r>
              <w:rPr>
                <w:rFonts w:hint="default"/>
                <w:lang w:val="es-US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3ADE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10</w:t>
            </w:r>
            <w:r>
              <w:t xml:space="preserve">.00 </w:t>
            </w:r>
            <w:r>
              <w:rPr>
                <w:rFonts w:hint="default"/>
                <w:lang w:val="es-US"/>
              </w:rPr>
              <w:t>am</w:t>
            </w:r>
          </w:p>
        </w:tc>
      </w:tr>
      <w:tr w14:paraId="0DAFE56F">
        <w:tblPrEx/>
        <w:trPr>
          <w:trHeight w:val="838" w:hRule="atLeast"/>
        </w:trPr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5C20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 xml:space="preserve">Formalización del contrato de </w:t>
            </w:r>
            <w:r>
              <w:rPr>
                <w:rFonts w:hint="default"/>
                <w:lang w:val="es-US"/>
              </w:rPr>
              <w:t>comodato</w:t>
            </w:r>
            <w:r>
              <w:t xml:space="preserve"> </w:t>
            </w:r>
          </w:p>
        </w:tc>
        <w:tc>
          <w:tcPr>
            <w:tcW w:w="3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25C3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t>Salón de reuniones de</w:t>
            </w:r>
            <w:r>
              <w:rPr>
                <w:rFonts w:hint="default"/>
                <w:lang w:val="es-US"/>
              </w:rPr>
              <w:t>l Rectorado de la UNISS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53C6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20</w:t>
            </w:r>
            <w:r>
              <w:t xml:space="preserve"> de </w:t>
            </w:r>
            <w:r>
              <w:rPr>
                <w:rFonts w:hint="default"/>
                <w:lang w:val="es-US"/>
              </w:rPr>
              <w:t xml:space="preserve">abril de </w:t>
            </w:r>
            <w:r>
              <w:t>202</w:t>
            </w:r>
            <w:r>
              <w:rPr>
                <w:rFonts w:hint="default"/>
                <w:lang w:val="es-US"/>
              </w:rPr>
              <w:t>6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4521">
            <w:pPr>
              <w:pStyle w:val="style0"/>
              <w:spacing w:after="0" w:lineRule="auto" w:line="259"/>
              <w:ind w:left="0" w:right="0" w:firstLine="0"/>
              <w:jc w:val="left"/>
              <w:rPr/>
            </w:pPr>
            <w:r>
              <w:rPr>
                <w:rFonts w:hint="default"/>
                <w:lang w:val="es-US"/>
              </w:rPr>
              <w:t>10</w:t>
            </w:r>
            <w:r>
              <w:t xml:space="preserve">.00 </w:t>
            </w:r>
            <w:r>
              <w:rPr>
                <w:rFonts w:hint="default"/>
                <w:lang w:val="es-US"/>
              </w:rPr>
              <w:t>am</w:t>
            </w:r>
          </w:p>
        </w:tc>
      </w:tr>
    </w:tbl>
    <w:p w14:paraId="44E98E54">
      <w:pPr>
        <w:pStyle w:val="style0"/>
        <w:spacing w:after="0" w:lineRule="auto" w:line="259"/>
        <w:ind w:left="0" w:right="0" w:firstLine="0"/>
        <w:jc w:val="left"/>
        <w:rPr/>
      </w:pPr>
      <w:r>
        <w:t xml:space="preserve"> </w:t>
      </w:r>
    </w:p>
    <w:p w14:paraId="13A59F40">
      <w:pPr>
        <w:pStyle w:val="style0"/>
        <w:ind w:left="-5" w:right="59"/>
        <w:rPr/>
      </w:pPr>
      <w:r>
        <w:t xml:space="preserve">De resultar necesario la modificación de alguno de los plazos u horarios estimados en este Cronograma será debidamente comunicado a los teléfonos y correos electrónicos aportados por cada uno de los licitantes con sus respectivos sobres. </w:t>
      </w:r>
    </w:p>
    <w:bookmarkStart w:id="0" w:name="_GoBack"/>
    <w:bookmarkEnd w:id="0"/>
    <w:p w14:paraId="46A62882">
      <w:pPr>
        <w:pStyle w:val="style0"/>
        <w:ind w:left="-5" w:right="59"/>
        <w:rPr/>
      </w:pPr>
    </w:p>
    <w:p w14:paraId="024AAC6E">
      <w:pPr>
        <w:pStyle w:val="style0"/>
        <w:ind w:left="-5" w:right="59"/>
        <w:rPr/>
      </w:pPr>
    </w:p>
    <w:p w14:paraId="38B72FEC">
      <w:pPr>
        <w:pStyle w:val="style0"/>
        <w:ind w:left="-5" w:right="59"/>
        <w:rPr>
          <w:rFonts w:hint="default"/>
          <w:b/>
          <w:bCs/>
          <w:lang w:val="es-US"/>
        </w:rPr>
      </w:pPr>
      <w:r>
        <w:rPr>
          <w:rFonts w:hint="default"/>
          <w:b/>
          <w:bCs/>
          <w:lang w:val="es-US"/>
        </w:rPr>
        <w:t>Pliego técnico</w:t>
      </w:r>
    </w:p>
    <w:p w14:paraId="1FC9EF22">
      <w:pPr>
        <w:pStyle w:val="style0"/>
        <w:ind w:left="-5" w:right="59"/>
        <w:rPr>
          <w:rFonts w:hint="default"/>
          <w:lang w:val="es-US"/>
        </w:rPr>
      </w:pPr>
    </w:p>
    <w:p w14:paraId="70A6F244">
      <w:pPr>
        <w:pStyle w:val="style0"/>
        <w:ind w:left="-5" w:right="59"/>
        <w:rPr>
          <w:rFonts w:hint="default"/>
          <w:lang w:val="es-US"/>
        </w:rPr>
      </w:pPr>
      <w:r>
        <w:rPr>
          <w:rFonts w:hint="default"/>
          <w:lang w:val="es-US"/>
        </w:rPr>
        <w:t>Ómnibus Girón VI, matrícula 097729, número de inventario 292105, número de motor 38OF30735, número de chasis 8900843</w:t>
      </w:r>
      <w:r>
        <w:t xml:space="preserve">, </w:t>
      </w:r>
      <w:r>
        <w:rPr>
          <w:rFonts w:hint="default"/>
          <w:lang w:val="es-US"/>
        </w:rPr>
        <w:t>con un valor de 9634.34 cup; y Girón VI, matrícula BO11725, número de inventario 18652P, número de motor AO1334, número de chasis 15428378</w:t>
      </w:r>
      <w:r>
        <w:t xml:space="preserve">, </w:t>
      </w:r>
      <w:r>
        <w:rPr>
          <w:rFonts w:hint="default"/>
          <w:lang w:val="es-US"/>
        </w:rPr>
        <w:t>con un valor de 12322.97 cup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footerReference w:type="first" r:id="rId7"/>
      <w:pgSz w:w="12240" w:h="15840" w:orient="portrait"/>
      <w:pgMar w:top="1991" w:right="1114" w:bottom="1435" w:left="1419" w:header="405" w:footer="70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Microsoft YaHei">
    <w:altName w:val="Microsoft YaHei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Malgun Gothic">
    <w:altName w:val="Malgun Gothic"/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Monotype Corsiva">
    <w:altName w:val="Monotype Corsiva"/>
    <w:panose1 w:val="03010101010002010101"/>
    <w:charset w:val="00"/>
    <w:family w:val="script"/>
    <w:pitch w:val="default"/>
    <w:sig w:usb0="00000287" w:usb1="00000000" w:usb2="00000000" w:usb3="00000000" w:csb0="2000009F" w:csb1="DFD7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B22FBD1">
    <w:pPr>
      <w:pStyle w:val="style0"/>
      <w:spacing w:after="0" w:lineRule="auto" w:line="259"/>
      <w:ind w:left="0" w:right="68" w:firstLine="0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rFonts w:ascii="Monotype Corsiva" w:cs="Monotype Corsiva" w:eastAsia="Monotype Corsiva" w:hAnsi="Monotype Corsiva"/>
        <w:sz w:val="28"/>
      </w:rPr>
      <w:t>1</w:t>
    </w:r>
    <w:r>
      <w:rPr>
        <w:rFonts w:ascii="Monotype Corsiva" w:cs="Monotype Corsiva" w:eastAsia="Monotype Corsiva" w:hAnsi="Monotype Corsiva"/>
        <w:sz w:val="28"/>
      </w:rPr>
      <w:fldChar w:fldCharType="end"/>
    </w:r>
    <w:r>
      <w:rPr>
        <w:rFonts w:ascii="Monotype Corsiva" w:cs="Monotype Corsiva" w:eastAsia="Monotype Corsiva" w:hAnsi="Monotype Corsiva"/>
        <w:sz w:val="28"/>
      </w:rPr>
      <w:t xml:space="preserve"> </w:t>
    </w:r>
  </w:p>
  <w:p w14:paraId="34CDB72C">
    <w:pPr>
      <w:pStyle w:val="style0"/>
      <w:spacing w:after="0" w:lineRule="auto" w:line="259"/>
      <w:ind w:left="0" w:right="0" w:firstLine="0"/>
      <w:jc w:val="left"/>
      <w:rPr/>
    </w:pPr>
    <w:r>
      <w:rPr>
        <w:rFonts w:ascii="Monotype Corsiva" w:cs="Monotype Corsiva" w:eastAsia="Monotype Corsiva" w:hAnsi="Monotype Corsiva"/>
        <w:sz w:val="28"/>
      </w:rPr>
      <w:t xml:space="preserve">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E28A201">
    <w:pPr>
      <w:pStyle w:val="style0"/>
      <w:spacing w:after="0" w:lineRule="auto" w:line="259"/>
      <w:ind w:left="0" w:right="68" w:firstLine="0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rFonts w:ascii="Monotype Corsiva" w:cs="Monotype Corsiva" w:eastAsia="Monotype Corsiva" w:hAnsi="Monotype Corsiva"/>
        <w:sz w:val="28"/>
      </w:rPr>
      <w:t>10</w:t>
    </w:r>
    <w:r>
      <w:rPr>
        <w:rFonts w:ascii="Monotype Corsiva" w:cs="Monotype Corsiva" w:eastAsia="Monotype Corsiva" w:hAnsi="Monotype Corsiva"/>
        <w:sz w:val="28"/>
      </w:rPr>
      <w:fldChar w:fldCharType="end"/>
    </w:r>
    <w:r>
      <w:rPr>
        <w:rFonts w:ascii="Monotype Corsiva" w:cs="Monotype Corsiva" w:eastAsia="Monotype Corsiva" w:hAnsi="Monotype Corsiva"/>
        <w:sz w:val="28"/>
      </w:rPr>
      <w:t xml:space="preserve"> </w:t>
    </w:r>
  </w:p>
  <w:p w14:paraId="00B965B3">
    <w:pPr>
      <w:pStyle w:val="style0"/>
      <w:spacing w:after="0" w:lineRule="auto" w:line="259"/>
      <w:ind w:left="0" w:right="0" w:firstLine="0"/>
      <w:jc w:val="left"/>
      <w:rPr/>
    </w:pPr>
    <w:r>
      <w:rPr>
        <w:rFonts w:ascii="Monotype Corsiva" w:cs="Monotype Corsiva" w:eastAsia="Monotype Corsiva" w:hAnsi="Monotype Corsiva"/>
        <w:sz w:val="28"/>
      </w:rPr>
      <w:t xml:space="preserve"> </w:t>
    </w: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6F1A53B">
    <w:pPr>
      <w:pStyle w:val="style0"/>
      <w:spacing w:after="0" w:lineRule="auto" w:line="259"/>
      <w:ind w:left="0" w:right="68" w:firstLine="0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rFonts w:ascii="Monotype Corsiva" w:cs="Monotype Corsiva" w:eastAsia="Monotype Corsiva" w:hAnsi="Monotype Corsiva"/>
        <w:sz w:val="28"/>
      </w:rPr>
      <w:t>1</w:t>
    </w:r>
    <w:r>
      <w:rPr>
        <w:rFonts w:ascii="Monotype Corsiva" w:cs="Monotype Corsiva" w:eastAsia="Monotype Corsiva" w:hAnsi="Monotype Corsiva"/>
        <w:sz w:val="28"/>
      </w:rPr>
      <w:fldChar w:fldCharType="end"/>
    </w:r>
    <w:r>
      <w:rPr>
        <w:rFonts w:ascii="Monotype Corsiva" w:cs="Monotype Corsiva" w:eastAsia="Monotype Corsiva" w:hAnsi="Monotype Corsiva"/>
        <w:sz w:val="28"/>
      </w:rPr>
      <w:t xml:space="preserve"> </w:t>
    </w:r>
  </w:p>
  <w:p w14:paraId="6096841D">
    <w:pPr>
      <w:pStyle w:val="style0"/>
      <w:spacing w:after="0" w:lineRule="auto" w:line="259"/>
      <w:ind w:left="0" w:right="0" w:firstLine="0"/>
      <w:jc w:val="left"/>
      <w:rPr/>
    </w:pPr>
    <w:r>
      <w:rPr>
        <w:rFonts w:ascii="Monotype Corsiva" w:cs="Monotype Corsiva" w:eastAsia="Monotype Corsiva" w:hAnsi="Monotype Corsiva"/>
        <w:sz w:val="28"/>
      </w:rPr>
      <w:t xml:space="preserve"> 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522CB97">
    <w:pPr>
      <w:pStyle w:val="style0"/>
      <w:spacing w:after="0" w:lineRule="auto" w:line="259"/>
      <w:ind w:left="0" w:right="5" w:firstLine="0"/>
      <w:jc w:val="right"/>
      <w:rPr/>
    </w:pPr>
    <w:r>
      <w:rPr/>
      <w:drawing>
        <wp:anchor distT="0" distB="0" distL="114300" distR="114300" simplePos="false" relativeHeight="2" behindDoc="false" locked="false" layoutInCell="true" allowOverlap="false">
          <wp:simplePos x="0" y="0"/>
          <wp:positionH relativeFrom="page">
            <wp:posOffset>900430</wp:posOffset>
          </wp:positionH>
          <wp:positionV relativeFrom="page">
            <wp:posOffset>257175</wp:posOffset>
          </wp:positionV>
          <wp:extent cx="1737360" cy="819150"/>
          <wp:effectExtent l="0" t="0" r="0" b="3810"/>
          <wp:wrapSquare wrapText="bothSides"/>
          <wp:docPr id="4097" name="Picture 15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737360" cy="8191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cs="Calibri" w:eastAsia="Calibri" w:hAnsi="Calibri"/>
        <w:sz w:val="22"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page">
                <wp:posOffset>4468495</wp:posOffset>
              </wp:positionH>
              <wp:positionV relativeFrom="page">
                <wp:posOffset>449580</wp:posOffset>
              </wp:positionV>
              <wp:extent cx="2552699" cy="695325"/>
              <wp:effectExtent l="0" t="0" r="7620" b="5715"/>
              <wp:wrapSquare wrapText="bothSides"/>
              <wp:docPr id="4098" name="Group 1447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2552699" cy="695325"/>
                        <a:chOff x="0" y="0"/>
                        <a:chExt cx="2552700" cy="695198"/>
                      </a:xfrm>
                    </wpg:grpSpPr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0" y="161925"/>
                          <a:ext cx="1857375" cy="530860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3" cstate="print"/>
                        <a:srcRect l="0" t="0" r="0" b="0"/>
                        <a:stretch/>
                      </pic:blipFill>
                      <pic:spPr>
                        <a:xfrm rot="0">
                          <a:off x="1866900" y="0"/>
                          <a:ext cx="685800" cy="695198"/>
                        </a:xfrm>
                        <a:prstGeom prst="rect"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098" filled="f" stroked="f" style="position:absolute;margin-left:351.85pt;margin-top:35.4pt;width:201.0pt;height:54.75pt;z-index:3;mso-position-horizontal-relative:page;mso-position-vertical-relative:page;mso-width-relative:page;mso-height-relative:page;visibility:visible;" coordsize="2552700,695198">
              <v:shape id="4099" type="#_x0000_t75" filled="f" stroked="f" style="position:absolute;left:0;top:161925;width:1857375;height:530860;z-index:2;mso-position-horizontal-relative:page;mso-position-vertical-relative:page;mso-width-relative:page;mso-height-relative:page;visibility:visible;">
                <v:imagedata r:id="rId2" embosscolor="white" o:title=""/>
                <v:stroke on="f"/>
                <v:fill/>
              </v:shape>
              <v:shape id="4100" type="#_x0000_t75" filled="f" stroked="f" style="position:absolute;left:1866900;top:0;width:685800;height:695198;z-index:3;mso-position-horizontal-relative:page;mso-position-vertical-relative:page;mso-width-relative:page;mso-height-relative:page;visibility:visible;">
                <v:imagedata r:id="rId3" embosscolor="white" o:title=""/>
                <v:stroke on="f"/>
                <v:fill/>
              </v:shape>
              <w10:wrap type="square"/>
              <v:fill/>
            </v:group>
          </w:pict>
        </mc:Fallback>
      </mc:AlternateContent>
    </w:r>
    <w:r>
      <w:rPr>
        <w:rFonts w:ascii="Monotype Corsiva" w:cs="Monotype Corsiva" w:eastAsia="Monotype Corsiva" w:hAnsi="Monotype Corsiva"/>
        <w:sz w:val="28"/>
      </w:rPr>
      <w:t xml:space="preserve"> </w:t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FC5F6A0">
    <w:pPr>
      <w:pStyle w:val="style0"/>
      <w:spacing w:after="0" w:lineRule="auto" w:line="259"/>
      <w:ind w:left="0" w:right="5" w:firstLine="0"/>
      <w:jc w:val="right"/>
      <w:rPr/>
    </w:pPr>
    <w:r>
      <w:rPr>
        <w:rFonts w:ascii="Monotype Corsiva" w:cs="Monotype Corsiva" w:eastAsia="Monotype Corsiva" w:hAnsi="Monotype Corsiva"/>
        <w:sz w:val="28"/>
      </w:rPr>
      <w:t xml:space="preserve"> </w:t>
    </w: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2B06A2A">
    <w:pPr>
      <w:pStyle w:val="style0"/>
      <w:spacing w:after="0" w:lineRule="auto" w:line="259"/>
      <w:ind w:left="0" w:right="5" w:firstLine="0"/>
      <w:jc w:val="right"/>
      <w:rPr/>
    </w:pPr>
    <w:r>
      <w:rPr/>
      <w:drawing>
        <wp:anchor distT="0" distB="0" distL="114300" distR="114300" simplePos="false" relativeHeight="4" behindDoc="false" locked="false" layoutInCell="true" allowOverlap="false">
          <wp:simplePos x="0" y="0"/>
          <wp:positionH relativeFrom="page">
            <wp:posOffset>900430</wp:posOffset>
          </wp:positionH>
          <wp:positionV relativeFrom="page">
            <wp:posOffset>257175</wp:posOffset>
          </wp:positionV>
          <wp:extent cx="1737360" cy="819150"/>
          <wp:effectExtent l="0" t="0" r="0" b="3810"/>
          <wp:wrapSquare wrapText="bothSides"/>
          <wp:docPr id="4101" name="Picture 15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737360" cy="819150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Calibri" w:cs="Calibri" w:eastAsia="Calibri" w:hAnsi="Calibri"/>
        <w:sz w:val="22"/>
      </w:rPr>
      <mc:AlternateContent>
        <mc:Choice Requires="wpg">
          <w:drawing>
            <wp:anchor distT="0" distB="0" distL="114300" distR="114300" simplePos="false" relativeHeight="5" behindDoc="false" locked="false" layoutInCell="true" allowOverlap="true">
              <wp:simplePos x="0" y="0"/>
              <wp:positionH relativeFrom="page">
                <wp:posOffset>4468495</wp:posOffset>
              </wp:positionH>
              <wp:positionV relativeFrom="page">
                <wp:posOffset>449580</wp:posOffset>
              </wp:positionV>
              <wp:extent cx="2552699" cy="695325"/>
              <wp:effectExtent l="0" t="0" r="7620" b="5715"/>
              <wp:wrapSquare wrapText="bothSides"/>
              <wp:docPr id="4102" name="Group 1443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2552699" cy="695325"/>
                        <a:chOff x="0" y="0"/>
                        <a:chExt cx="2552700" cy="695198"/>
                      </a:xfrm>
                    </wpg:grpSpPr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2" cstate="print"/>
                        <a:srcRect l="0" t="0" r="0" b="0"/>
                        <a:stretch/>
                      </pic:blipFill>
                      <pic:spPr>
                        <a:xfrm rot="0">
                          <a:off x="0" y="161925"/>
                          <a:ext cx="1857375" cy="530860"/>
                        </a:xfrm>
                        <a:prstGeom prst="rect"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3" cstate="print"/>
                        <a:srcRect l="0" t="0" r="0" b="0"/>
                        <a:stretch/>
                      </pic:blipFill>
                      <pic:spPr>
                        <a:xfrm rot="0">
                          <a:off x="1866900" y="0"/>
                          <a:ext cx="685800" cy="695198"/>
                        </a:xfrm>
                        <a:prstGeom prst="rect"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4102" filled="f" stroked="f" style="position:absolute;margin-left:351.85pt;margin-top:35.4pt;width:201.0pt;height:54.75pt;z-index:5;mso-position-horizontal-relative:page;mso-position-vertical-relative:page;mso-width-relative:page;mso-height-relative:page;visibility:visible;" coordsize="2552700,695198">
              <v:shape id="4103" type="#_x0000_t75" filled="f" stroked="f" style="position:absolute;left:0;top:161925;width:1857375;height:530860;z-index:2;mso-position-horizontal-relative:page;mso-position-vertical-relative:page;mso-width-relative:page;mso-height-relative:page;visibility:visible;">
                <v:imagedata r:id="rId2" embosscolor="white" o:title=""/>
                <v:stroke on="f"/>
                <v:fill/>
              </v:shape>
              <v:shape id="4104" type="#_x0000_t75" filled="f" stroked="f" style="position:absolute;left:1866900;top:0;width:685800;height:695198;z-index:3;mso-position-horizontal-relative:page;mso-position-vertical-relative:page;mso-width-relative:page;mso-height-relative:page;visibility:visible;">
                <v:imagedata r:id="rId3" embosscolor="white" o:title=""/>
                <v:stroke on="f"/>
                <v:fill/>
              </v:shape>
              <w10:wrap type="square"/>
              <v:fill/>
            </v:group>
          </w:pict>
        </mc:Fallback>
      </mc:AlternateContent>
    </w:r>
    <w:r>
      <w:rPr>
        <w:rFonts w:ascii="Monotype Corsiva" w:cs="Monotype Corsiva" w:eastAsia="Monotype Corsiva" w:hAnsi="Monotype Corsiva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1A073629"/>
    <w:lvl w:ilvl="0">
      <w:start w:val="1"/>
      <w:numFmt w:val="lowerLetter"/>
      <w:lvlText w:val="%1)"/>
      <w:lvlJc w:val="left"/>
      <w:pPr>
        <w:ind w:left="720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6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8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0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2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4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6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8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02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isplayHorizontalDrawingGridEvery w:val="1"/>
  <w:displayVerticalDrawingGridEvery w:val="1"/>
  <w:characterSpacingControl w:val="doNotCompress"/>
  <w:compat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等线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5" w:lineRule="auto" w:line="249"/>
      <w:ind w:left="10" w:right="66" w:hanging="10"/>
      <w:jc w:val="both"/>
    </w:pPr>
    <w:rPr>
      <w:rFonts w:ascii="Arial" w:cs="Arial" w:eastAsia="Arial" w:hAnsi="Arial"/>
      <w:color w:val="000000"/>
      <w:sz w:val="24"/>
      <w:szCs w:val="22"/>
      <w:lang w:val="es-ES" w:bidi="ar-SA" w:eastAsia="es-ES"/>
    </w:rPr>
  </w:style>
  <w:style w:type="paragraph" w:styleId="style1">
    <w:name w:val="heading 1"/>
    <w:next w:val="style0"/>
    <w:link w:val="style4097"/>
    <w:qFormat/>
    <w:uiPriority w:val="9"/>
    <w:pPr>
      <w:keepNext/>
      <w:keepLines/>
      <w:spacing w:after="4" w:lineRule="auto" w:line="251"/>
      <w:ind w:left="10" w:right="71" w:hanging="10"/>
      <w:jc w:val="both"/>
      <w:outlineLvl w:val="0"/>
    </w:pPr>
    <w:rPr>
      <w:rFonts w:ascii="Arial" w:cs="Arial" w:eastAsia="Arial" w:hAnsi="Arial"/>
      <w:b/>
      <w:color w:val="000000"/>
      <w:sz w:val="24"/>
      <w:szCs w:val="22"/>
      <w:lang w:val="es-ES" w:bidi="ar-SA" w:eastAsia="es-ES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Título 1 Car"/>
    <w:next w:val="style4097"/>
    <w:link w:val="style1"/>
    <w:qFormat/>
    <w:uiPriority w:val="0"/>
    <w:rPr>
      <w:rFonts w:ascii="Arial" w:cs="Arial" w:eastAsia="Arial" w:hAnsi="Arial"/>
      <w:b/>
      <w:color w:val="000000"/>
      <w:sz w:val="24"/>
    </w:rPr>
  </w:style>
  <w:style w:type="table" w:customStyle="1" w:styleId="style4098">
    <w:name w:val="TableGrid"/>
    <w:next w:val="style4098"/>
    <w:qFormat/>
    <w:uiPriority w:val="0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footer" Target="footer6.xml"/><Relationship Id="rId8" Type="http://schemas.openxmlformats.org/officeDocument/2006/relationships/styles" Target="styles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jpeg"/><Relationship Id="rId3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2672</Words>
  <Pages>9</Pages>
  <Characters>14481</Characters>
  <Application>WPS Office</Application>
  <DocSecurity>0</DocSecurity>
  <Paragraphs>200</Paragraphs>
  <ScaleCrop>false</ScaleCrop>
  <LinksUpToDate>false</LinksUpToDate>
  <CharactersWithSpaces>17217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2024-05-16T20:51:00Z</dcterms:created>
  <dc:creator>Sila Roca</dc:creator>
  <lastModifiedBy>ZTE Blade A34</lastModifiedBy>
  <dcterms:modified xsi:type="dcterms:W3CDTF">2026-10-13T21:53:20Z</dcterms:modified>
  <revision>28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0b05ebe4484e48de9ecda69cc5030e7a_23</vt:lpwstr>
  </property>
  <property fmtid="{D5CDD505-2E9C-101B-9397-08002B2CF9AE}" pid="4" name="KSOTemplateDocerSaveRecord">
    <vt:lpwstr>eyJoZGlkIjoiM2FiZDIzMjBhYjY3YjcwYmIxYWI1NjM4YzVmYjEyMDMiLCJ1c2VySWQiOiIxNTI5NDkyOTg5NzAwIn0=</vt:lpwstr>
  </property>
</Properties>
</file>